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r>
        <w:rPr>
          <w:rFonts w:hint="default" w:ascii="Times New Roman" w:hAnsi="Times New Roman" w:eastAsia="黑体" w:cs="Times New Roman"/>
          <w:b w:val="0"/>
          <w:bCs w:val="0"/>
          <w:lang w:val="en-US" w:eastAsia="zh-CN"/>
        </w:rPr>
        <w:t>附件3</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10" w:lineRule="exact"/>
        <w:ind w:right="0"/>
        <w:jc w:val="both"/>
        <w:textAlignment w:val="auto"/>
        <w:rPr>
          <w:rFonts w:hint="default" w:ascii="Times New Roman" w:hAnsi="Times New Roman" w:eastAsia="黑体" w:cs="Times New Roman"/>
          <w:b w:val="0"/>
          <w:bCs w:val="0"/>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6"/>
          <w:sz w:val="36"/>
          <w:szCs w:val="36"/>
          <w:lang w:val="en-US" w:eastAsia="zh-CN"/>
        </w:rPr>
      </w:pPr>
      <w:r>
        <w:rPr>
          <w:rFonts w:hint="default" w:ascii="Times New Roman" w:hAnsi="Times New Roman" w:eastAsia="方正小标宋简体" w:cs="Times New Roman"/>
          <w:b w:val="0"/>
          <w:bCs w:val="0"/>
          <w:spacing w:val="-6"/>
          <w:sz w:val="36"/>
          <w:szCs w:val="36"/>
          <w:lang w:val="en-US" w:eastAsia="zh-CN"/>
        </w:rPr>
        <w:t>新圩镇小散工程和零星作业安全生产隐患处置指引</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6"/>
          <w:sz w:val="36"/>
          <w:szCs w:val="36"/>
          <w:lang w:val="en-US" w:eastAsia="zh-CN"/>
        </w:rPr>
      </w:pP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val="0"/>
          <w:bCs w:val="0"/>
          <w:highlight w:val="none"/>
        </w:rPr>
      </w:pPr>
      <w:r>
        <w:rPr>
          <w:rFonts w:hint="default" w:ascii="Times New Roman" w:hAnsi="Times New Roman" w:cs="Times New Roman"/>
          <w:b w:val="0"/>
          <w:bCs w:val="0"/>
        </w:rPr>
        <w:t>为有效指引</w:t>
      </w:r>
      <w:r>
        <w:rPr>
          <w:rFonts w:hint="default" w:ascii="Times New Roman" w:hAnsi="Times New Roman" w:cs="Times New Roman"/>
          <w:b w:val="0"/>
          <w:bCs w:val="0"/>
          <w:lang w:eastAsia="zh-CN"/>
        </w:rPr>
        <w:t>新圩镇</w:t>
      </w:r>
      <w:r>
        <w:rPr>
          <w:rFonts w:hint="default" w:ascii="Times New Roman" w:hAnsi="Times New Roman" w:cs="Times New Roman"/>
          <w:b w:val="0"/>
          <w:bCs w:val="0"/>
        </w:rPr>
        <w:t>小散工程和零星作业安全生产执法工作，制定本指引。</w:t>
      </w:r>
      <w:r>
        <w:rPr>
          <w:rFonts w:hint="default" w:ascii="Times New Roman" w:hAnsi="Times New Roman" w:cs="Times New Roman"/>
          <w:b w:val="0"/>
          <w:bCs w:val="0"/>
          <w:highlight w:val="none"/>
        </w:rPr>
        <w:t>综合执法办应当与</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配合，对发现的违法违规行为及时进行查处：</w:t>
      </w: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val="0"/>
          <w:bCs w:val="0"/>
          <w:highlight w:val="none"/>
        </w:rPr>
      </w:pPr>
      <w:r>
        <w:rPr>
          <w:rFonts w:hint="default" w:ascii="Times New Roman" w:hAnsi="Times New Roman" w:cs="Times New Roman"/>
          <w:b w:val="0"/>
          <w:bCs w:val="0"/>
          <w:highlight w:val="none"/>
        </w:rPr>
        <w:t>一、</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发现小散工程和零星作业未按照相关安全技术标准施工、作业，未采取必要安全防护措施的，应立即制止，并督促整改；拒不执行的，由</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highlight w:val="none"/>
        </w:rPr>
        <w:t>报送综合执法办。综合执法办对属于授权范围内的执法事项，依法进行查处。</w:t>
      </w: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val="0"/>
          <w:bCs w:val="0"/>
        </w:rPr>
      </w:pPr>
      <w:r>
        <w:rPr>
          <w:rFonts w:hint="default" w:ascii="Times New Roman" w:hAnsi="Times New Roman" w:cs="Times New Roman"/>
          <w:b w:val="0"/>
          <w:bCs w:val="0"/>
          <w:highlight w:val="none"/>
        </w:rPr>
        <w:t>二、</w:t>
      </w:r>
      <w:r>
        <w:rPr>
          <w:rFonts w:hint="default" w:ascii="Times New Roman" w:hAnsi="Times New Roman" w:cs="Times New Roman"/>
          <w:b w:val="0"/>
          <w:bCs w:val="0"/>
          <w:highlight w:val="none"/>
          <w:lang w:eastAsia="zh-CN"/>
        </w:rPr>
        <w:t>建设办</w:t>
      </w:r>
      <w:r>
        <w:rPr>
          <w:rFonts w:hint="default" w:ascii="Times New Roman" w:hAnsi="Times New Roman" w:cs="Times New Roman"/>
          <w:b w:val="0"/>
          <w:bCs w:val="0"/>
        </w:rPr>
        <w:t>发现有违反土地、规划、法律法规的违法建设活动，及时上报区相关执法机构，由其依法查处。</w:t>
      </w: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val="0"/>
          <w:bCs w:val="0"/>
        </w:rPr>
      </w:pPr>
      <w:r>
        <w:rPr>
          <w:rFonts w:hint="default" w:ascii="Times New Roman" w:hAnsi="Times New Roman" w:cs="Times New Roman"/>
          <w:b w:val="0"/>
          <w:bCs w:val="0"/>
        </w:rPr>
        <w:t>三、对授权范围以外的执法事项，及时上报区相关部门依法查处。</w:t>
      </w:r>
    </w:p>
    <w:p>
      <w:pPr>
        <w:pStyle w:val="9"/>
        <w:keepNext w:val="0"/>
        <w:keepLines w:val="0"/>
        <w:pageBreakBefore w:val="0"/>
        <w:widowControl w:val="0"/>
        <w:kinsoku/>
        <w:wordWrap/>
        <w:overflowPunct/>
        <w:topLinePunct w:val="0"/>
        <w:autoSpaceDE/>
        <w:autoSpaceDN/>
        <w:bidi w:val="0"/>
        <w:adjustRightInd/>
        <w:snapToGrid/>
        <w:spacing w:line="610" w:lineRule="exact"/>
        <w:textAlignment w:val="auto"/>
        <w:rPr>
          <w:rFonts w:hint="default" w:ascii="Times New Roman" w:hAnsi="Times New Roman" w:cs="Times New Roman"/>
          <w:b w:val="0"/>
          <w:bCs w:val="0"/>
        </w:rPr>
      </w:pPr>
    </w:p>
    <w:p>
      <w:pPr>
        <w:pStyle w:val="9"/>
        <w:keepNext w:val="0"/>
        <w:keepLines w:val="0"/>
        <w:pageBreakBefore w:val="0"/>
        <w:widowControl w:val="0"/>
        <w:kinsoku/>
        <w:wordWrap/>
        <w:overflowPunct/>
        <w:topLinePunct w:val="0"/>
        <w:autoSpaceDE/>
        <w:autoSpaceDN/>
        <w:bidi w:val="0"/>
        <w:adjustRightInd/>
        <w:snapToGrid/>
        <w:spacing w:line="610" w:lineRule="exact"/>
        <w:ind w:left="2238" w:leftChars="304" w:hanging="1600" w:hangingChars="500"/>
        <w:textAlignment w:val="auto"/>
        <w:rPr>
          <w:rFonts w:hint="default" w:ascii="Times New Roman" w:hAnsi="Times New Roman" w:cs="Times New Roman"/>
          <w:b w:val="0"/>
          <w:bCs w:val="0"/>
        </w:rPr>
      </w:pPr>
      <w:r>
        <w:rPr>
          <w:rFonts w:hint="default" w:ascii="Times New Roman" w:hAnsi="Times New Roman" w:cs="Times New Roman"/>
          <w:b w:val="0"/>
          <w:bCs w:val="0"/>
        </w:rPr>
        <w:t>附表</w:t>
      </w:r>
      <w:r>
        <w:rPr>
          <w:rFonts w:hint="default" w:ascii="Times New Roman" w:hAnsi="Times New Roman" w:cs="Times New Roman"/>
          <w:b w:val="0"/>
          <w:bCs w:val="0"/>
          <w:lang w:eastAsia="zh-CN"/>
        </w:rPr>
        <w:t>：</w:t>
      </w:r>
      <w:r>
        <w:rPr>
          <w:rFonts w:hint="default" w:ascii="Times New Roman" w:hAnsi="Times New Roman" w:cs="Times New Roman"/>
          <w:b w:val="0"/>
          <w:bCs w:val="0"/>
          <w:lang w:val="en-US" w:eastAsia="zh-CN"/>
        </w:rPr>
        <w:t>3-1.</w:t>
      </w:r>
      <w:r>
        <w:rPr>
          <w:rFonts w:hint="default" w:ascii="Times New Roman" w:hAnsi="Times New Roman" w:cs="Times New Roman"/>
          <w:b w:val="0"/>
          <w:bCs w:val="0"/>
          <w:lang w:eastAsia="zh-CN"/>
        </w:rPr>
        <w:t>新圩镇</w:t>
      </w:r>
      <w:r>
        <w:rPr>
          <w:rFonts w:hint="default" w:ascii="Times New Roman" w:hAnsi="Times New Roman" w:cs="Times New Roman"/>
          <w:b w:val="0"/>
          <w:bCs w:val="0"/>
        </w:rPr>
        <w:t>小散工程和零星作业常见安全生产违法违规</w:t>
      </w:r>
    </w:p>
    <w:p>
      <w:pPr>
        <w:pStyle w:val="9"/>
        <w:keepNext w:val="0"/>
        <w:keepLines w:val="0"/>
        <w:pageBreakBefore w:val="0"/>
        <w:widowControl w:val="0"/>
        <w:kinsoku/>
        <w:wordWrap/>
        <w:overflowPunct/>
        <w:topLinePunct w:val="0"/>
        <w:autoSpaceDE/>
        <w:autoSpaceDN/>
        <w:bidi w:val="0"/>
        <w:adjustRightInd/>
        <w:snapToGrid/>
        <w:spacing w:line="610" w:lineRule="exact"/>
        <w:ind w:left="2235" w:leftChars="912" w:hanging="320" w:hangingChars="100"/>
        <w:textAlignment w:val="auto"/>
        <w:rPr>
          <w:rFonts w:hint="default" w:ascii="Times New Roman" w:hAnsi="Times New Roman" w:cs="Times New Roman"/>
          <w:b w:val="0"/>
          <w:bCs w:val="0"/>
        </w:rPr>
      </w:pPr>
      <w:r>
        <w:rPr>
          <w:rFonts w:hint="default" w:ascii="Times New Roman" w:hAnsi="Times New Roman" w:cs="Times New Roman"/>
          <w:b w:val="0"/>
          <w:bCs w:val="0"/>
        </w:rPr>
        <w:t>行为执法表</w:t>
      </w:r>
    </w:p>
    <w:p>
      <w:pPr>
        <w:pStyle w:val="10"/>
        <w:rPr>
          <w:rFonts w:hint="default" w:ascii="Times New Roman" w:hAnsi="Times New Roman" w:cs="Times New Roman"/>
          <w:b w:val="0"/>
          <w:bCs w:val="0"/>
        </w:rPr>
        <w:sectPr>
          <w:headerReference r:id="rId3" w:type="default"/>
          <w:footerReference r:id="rId4" w:type="default"/>
          <w:pgSz w:w="11905" w:h="16838"/>
          <w:pgMar w:top="1984" w:right="1247" w:bottom="1247" w:left="1587" w:header="850" w:footer="992" w:gutter="0"/>
          <w:pgNumType w:fmt="numberInDash"/>
          <w:cols w:space="0" w:num="1"/>
          <w:rtlGutter w:val="0"/>
          <w:docGrid w:type="lines" w:linePitch="316" w:charSpace="0"/>
        </w:sectPr>
      </w:pPr>
    </w:p>
    <w:p>
      <w:pPr>
        <w:pStyle w:val="11"/>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附表</w:t>
      </w:r>
      <w:r>
        <w:rPr>
          <w:rFonts w:hint="eastAsia" w:ascii="黑体" w:hAnsi="黑体" w:eastAsia="黑体" w:cs="黑体"/>
          <w:b w:val="0"/>
          <w:bCs w:val="0"/>
          <w:sz w:val="32"/>
          <w:szCs w:val="32"/>
          <w:lang w:val="en-US" w:eastAsia="zh-CN"/>
        </w:rPr>
        <w:t>3-1</w:t>
      </w:r>
    </w:p>
    <w:p>
      <w:pPr>
        <w:pStyle w:val="11"/>
        <w:ind w:left="0" w:leftChars="0" w:right="0" w:rightChars="0" w:firstLine="0" w:firstLineChars="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新圩镇</w:t>
      </w:r>
      <w:r>
        <w:rPr>
          <w:rFonts w:hint="eastAsia" w:ascii="方正小标宋简体" w:hAnsi="方正小标宋简体" w:eastAsia="方正小标宋简体" w:cs="方正小标宋简体"/>
          <w:b w:val="0"/>
          <w:bCs w:val="0"/>
          <w:sz w:val="36"/>
          <w:szCs w:val="36"/>
        </w:rPr>
        <w:t>小散工程和零星作业常见安全生产违法违规行为执法表</w:t>
      </w:r>
    </w:p>
    <w:tbl>
      <w:tblPr>
        <w:tblStyle w:val="5"/>
        <w:tblW w:w="14869" w:type="dxa"/>
        <w:jc w:val="center"/>
        <w:tblInd w:w="29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966"/>
        <w:gridCol w:w="616"/>
        <w:gridCol w:w="2409"/>
        <w:gridCol w:w="6066"/>
        <w:gridCol w:w="1931"/>
        <w:gridCol w:w="17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34" w:hRule="atLeast"/>
          <w:tblHeader/>
          <w:jc w:val="center"/>
        </w:trPr>
        <w:tc>
          <w:tcPr>
            <w:tcW w:w="109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责任主体</w:t>
            </w:r>
          </w:p>
        </w:tc>
        <w:tc>
          <w:tcPr>
            <w:tcW w:w="966" w:type="dxa"/>
            <w:vAlign w:val="center"/>
          </w:tcPr>
          <w:p>
            <w:pPr>
              <w:widowControl/>
              <w:adjustRightInd w:val="0"/>
              <w:snapToGrid w:val="0"/>
              <w:spacing w:line="24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类别</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序号</w:t>
            </w:r>
          </w:p>
        </w:tc>
        <w:tc>
          <w:tcPr>
            <w:tcW w:w="2409" w:type="dxa"/>
            <w:vAlign w:val="center"/>
          </w:tcPr>
          <w:p>
            <w:pPr>
              <w:widowControl/>
              <w:adjustRightInd w:val="0"/>
              <w:snapToGrid w:val="0"/>
              <w:spacing w:line="24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违法违规行为</w:t>
            </w:r>
          </w:p>
        </w:tc>
        <w:tc>
          <w:tcPr>
            <w:tcW w:w="6066" w:type="dxa"/>
            <w:vAlign w:val="center"/>
          </w:tcPr>
          <w:p>
            <w:pPr>
              <w:widowControl/>
              <w:adjustRightInd w:val="0"/>
              <w:snapToGrid w:val="0"/>
              <w:spacing w:line="24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违反条款</w:t>
            </w:r>
          </w:p>
        </w:tc>
        <w:tc>
          <w:tcPr>
            <w:tcW w:w="1931" w:type="dxa"/>
            <w:vAlign w:val="center"/>
          </w:tcPr>
          <w:p>
            <w:pPr>
              <w:widowControl/>
              <w:adjustRightInd w:val="0"/>
              <w:snapToGrid w:val="0"/>
              <w:spacing w:line="24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处罚依据</w:t>
            </w:r>
          </w:p>
        </w:tc>
        <w:tc>
          <w:tcPr>
            <w:tcW w:w="1785" w:type="dxa"/>
            <w:vAlign w:val="center"/>
          </w:tcPr>
          <w:p>
            <w:pPr>
              <w:widowControl/>
              <w:adjustRightInd w:val="0"/>
              <w:snapToGrid w:val="0"/>
              <w:spacing w:line="240" w:lineRule="exact"/>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执法措施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35" w:hRule="atLeast"/>
          <w:jc w:val="center"/>
        </w:trPr>
        <w:tc>
          <w:tcPr>
            <w:tcW w:w="1096" w:type="dxa"/>
            <w:vMerge w:val="restart"/>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建设单位</w:t>
            </w:r>
          </w:p>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（业主）</w:t>
            </w:r>
          </w:p>
        </w:tc>
        <w:tc>
          <w:tcPr>
            <w:tcW w:w="966"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综合方面</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依法应委托有资质施工单位的，未将小散工程委托具有相应资质条件的施工单位进行施工的</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第六十五条发包单位将工程发包给不具有相应资质条件的承包单位的，责令改正，处以</w:t>
            </w:r>
            <w:r>
              <w:rPr>
                <w:rFonts w:hint="default" w:ascii="Times New Roman" w:hAnsi="Times New Roman" w:eastAsia="仿宋_GB2312" w:cs="Times New Roman"/>
                <w:b w:val="0"/>
                <w:bCs w:val="0"/>
                <w:kern w:val="0"/>
                <w:sz w:val="18"/>
                <w:szCs w:val="18"/>
              </w:rPr>
              <w:fldChar w:fldCharType="begin"/>
            </w:r>
            <w:r>
              <w:rPr>
                <w:rFonts w:hint="default" w:ascii="Times New Roman" w:hAnsi="Times New Roman" w:eastAsia="仿宋_GB2312" w:cs="Times New Roman"/>
                <w:b w:val="0"/>
                <w:bCs w:val="0"/>
                <w:kern w:val="0"/>
                <w:sz w:val="18"/>
                <w:szCs w:val="18"/>
              </w:rPr>
              <w:instrText xml:space="preserve"> HYPERLINK "https://baike.baidu.com/item/ç½æ¬¾" \t "_blank" </w:instrText>
            </w:r>
            <w:r>
              <w:rPr>
                <w:rFonts w:hint="default" w:ascii="Times New Roman" w:hAnsi="Times New Roman" w:eastAsia="仿宋_GB2312" w:cs="Times New Roman"/>
                <w:b w:val="0"/>
                <w:bCs w:val="0"/>
                <w:kern w:val="0"/>
                <w:sz w:val="18"/>
                <w:szCs w:val="18"/>
              </w:rPr>
              <w:fldChar w:fldCharType="separate"/>
            </w:r>
            <w:r>
              <w:rPr>
                <w:rFonts w:hint="default" w:ascii="Times New Roman" w:hAnsi="Times New Roman" w:eastAsia="仿宋_GB2312" w:cs="Times New Roman"/>
                <w:b w:val="0"/>
                <w:bCs w:val="0"/>
                <w:kern w:val="0"/>
                <w:sz w:val="18"/>
                <w:szCs w:val="18"/>
              </w:rPr>
              <w:t>罚款</w:t>
            </w:r>
            <w:r>
              <w:rPr>
                <w:rFonts w:hint="default" w:ascii="Times New Roman" w:hAnsi="Times New Roman" w:eastAsia="仿宋_GB2312" w:cs="Times New Roman"/>
                <w:b w:val="0"/>
                <w:bCs w:val="0"/>
                <w:kern w:val="0"/>
                <w:sz w:val="18"/>
                <w:szCs w:val="18"/>
              </w:rPr>
              <w:fldChar w:fldCharType="end"/>
            </w:r>
            <w:r>
              <w:rPr>
                <w:rFonts w:hint="default" w:ascii="Times New Roman" w:hAnsi="Times New Roman" w:eastAsia="仿宋_GB2312" w:cs="Times New Roman"/>
                <w:b w:val="0"/>
                <w:bCs w:val="0"/>
                <w:kern w:val="0"/>
                <w:sz w:val="18"/>
                <w:szCs w:val="18"/>
              </w:rPr>
              <w:t>。</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五十五条违反本条例的规定，建设单位有下列行为之一的，责令限期改正，处20万元以上50万元以下的罚款；造成重大安全事故，构成犯罪的，对直接责任人员，依照刑法有关规定追究刑事责任；造成损失的，依法承担赔偿责任：将拆除工程发包给不具有相应资质等级的施工单位的。</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第五十四条违反本条例规定，建设单位将建设工程发包给不具有相应资质等级的施工单位的，责令改正，处50万元以上100万元以下的罚款。</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《建筑法》第六十五条</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《建设工程安全生产管理条例》第五十五条</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《建设工程质量管理条例》第五十四条　</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539"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对施工单位提出不符合安全生产法律、法规和强制性标准规定的要求的</w:t>
            </w:r>
          </w:p>
        </w:tc>
        <w:tc>
          <w:tcPr>
            <w:tcW w:w="6066" w:type="dxa"/>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第五十五条　违反本条例的规定，建设单位有下列行为之一的，责令限期改正，处20万元以上50万元以下的罚款；造成重大安全事故，构成犯罪的，对直接责任人员，依照刑法有关规定追究刑事责任；造成损失的，依法承担赔偿责任：</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一</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对施工单位提出不符合安全生产法律、法规和强制性标准规定的要求的；</w:t>
            </w:r>
          </w:p>
        </w:tc>
        <w:tc>
          <w:tcPr>
            <w:tcW w:w="1931" w:type="dxa"/>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《建设工程安全生产管理条例》第五十五条</w:t>
            </w:r>
          </w:p>
        </w:tc>
        <w:tc>
          <w:tcPr>
            <w:tcW w:w="1785" w:type="dxa"/>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300" w:hRule="atLeast"/>
          <w:jc w:val="center"/>
        </w:trPr>
        <w:tc>
          <w:tcPr>
            <w:tcW w:w="1096" w:type="dxa"/>
            <w:vMerge w:val="restart"/>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w:t>
            </w:r>
          </w:p>
        </w:tc>
        <w:tc>
          <w:tcPr>
            <w:tcW w:w="966" w:type="dxa"/>
            <w:vMerge w:val="restart"/>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业务承揽</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施工单位超越本单位资质等级或未取得资质证书承揽小散工程</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五条超越本单位资质等级承揽工程的，责令停止违法行为，处以罚款，可以责令停业整顿，降低资质等级；情节严重的，吊销资质证书；有违法所得的，予以没收。未取得资质证书承揽工程的，予以取缔，并处罚款；有违法所得的，予以没收。</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条违反本条例规定，施工单位超越本单位资质等级承揽工程的，责令停止违法行为，对施工单位处工程合同价款百分之二以上百分之四以下的罚款，可以责令停业整顿，降低资质等级；情节严重的，吊销资质证书；有违法所得的，予以没收。未取得资质证书承揽工程的，予以取缔，依照前款规定处以罚款；有违法所得的，予以没收。</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《建筑法》第六十五条</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《建设工程质量管理条例》第六十条</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1.责令停止违法行为；</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3.责令停业整顿，4.降低资质等级；</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5.吊销资质证书；</w:t>
            </w:r>
          </w:p>
          <w:p>
            <w:pPr>
              <w:widowControl/>
              <w:adjustRightInd w:val="0"/>
              <w:snapToGrid w:val="0"/>
              <w:spacing w:line="240" w:lineRule="exact"/>
              <w:jc w:val="left"/>
              <w:rPr>
                <w:rFonts w:hint="default" w:ascii="Times New Roman" w:hAnsi="Times New Roman" w:eastAsia="仿宋_GB2312" w:cs="Times New Roman"/>
                <w:b w:val="0"/>
                <w:bCs w:val="0"/>
              </w:rPr>
            </w:pPr>
            <w:r>
              <w:rPr>
                <w:rFonts w:hint="default" w:ascii="Times New Roman" w:hAnsi="Times New Roman" w:eastAsia="仿宋_GB2312" w:cs="Times New Roman"/>
                <w:b w:val="0"/>
                <w:bCs w:val="0"/>
                <w:kern w:val="0"/>
                <w:sz w:val="18"/>
                <w:szCs w:val="18"/>
              </w:rPr>
              <w:t>6.没收违法所得。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92"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4</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施工单位存在出借资质证书等违法行为承揽小散工程</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第六十六条 建筑施工企业转让、出借资质证书或者以其他方式允许他人以本企业的名义承揽工程的，责令改正，</w:t>
            </w:r>
            <w:r>
              <w:rPr>
                <w:rFonts w:hint="default" w:ascii="Times New Roman" w:hAnsi="Times New Roman" w:eastAsia="仿宋_GB2312" w:cs="Times New Roman"/>
                <w:b w:val="0"/>
                <w:bCs w:val="0"/>
              </w:rPr>
              <w:fldChar w:fldCharType="begin"/>
            </w:r>
            <w:r>
              <w:rPr>
                <w:rFonts w:hint="default" w:ascii="Times New Roman" w:hAnsi="Times New Roman" w:eastAsia="仿宋_GB2312" w:cs="Times New Roman"/>
                <w:b w:val="0"/>
                <w:bCs w:val="0"/>
              </w:rPr>
              <w:instrText xml:space="preserve"> HYPERLINK "https://baike.baidu.com/item/æ²¡æ¶è¿æ³æå¾" \t "_blank" </w:instrText>
            </w:r>
            <w:r>
              <w:rPr>
                <w:rFonts w:hint="default" w:ascii="Times New Roman" w:hAnsi="Times New Roman" w:eastAsia="仿宋_GB2312" w:cs="Times New Roman"/>
                <w:b w:val="0"/>
                <w:bCs w:val="0"/>
              </w:rPr>
              <w:fldChar w:fldCharType="separate"/>
            </w:r>
            <w:r>
              <w:rPr>
                <w:rFonts w:hint="default" w:ascii="Times New Roman" w:hAnsi="Times New Roman" w:eastAsia="仿宋_GB2312" w:cs="Times New Roman"/>
                <w:b w:val="0"/>
                <w:bCs w:val="0"/>
                <w:kern w:val="0"/>
                <w:sz w:val="18"/>
                <w:szCs w:val="18"/>
              </w:rPr>
              <w:t>没收违法所得</w:t>
            </w:r>
            <w:r>
              <w:rPr>
                <w:rFonts w:hint="default" w:ascii="Times New Roman" w:hAnsi="Times New Roman" w:eastAsia="仿宋_GB2312" w:cs="Times New Roman"/>
                <w:b w:val="0"/>
                <w:bCs w:val="0"/>
                <w:kern w:val="0"/>
                <w:sz w:val="18"/>
                <w:szCs w:val="18"/>
              </w:rPr>
              <w:fldChar w:fldCharType="end"/>
            </w:r>
            <w:r>
              <w:rPr>
                <w:rFonts w:hint="default" w:ascii="Times New Roman" w:hAnsi="Times New Roman" w:eastAsia="仿宋_GB2312" w:cs="Times New Roman"/>
                <w:b w:val="0"/>
                <w:bCs w:val="0"/>
                <w:kern w:val="0"/>
                <w:sz w:val="18"/>
                <w:szCs w:val="18"/>
              </w:rPr>
              <w:t>，并处罚款，可以责令停业整顿，降低资质等级；情节严重的，吊销资质证书。</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一条违反本条例规定，施工单位允许其他单位或者个人以本单位名义承揽工程的，责令改正，没收违法所得，对施工单位处工程合同价款百分之二以上百分之四以下的罚款；可以责令停业整顿，降低资质等级；情节严重的，吊销资质证书。</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《建筑法》第六十六条</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《建设工程质量管理条例》第六十一条</w:t>
            </w:r>
          </w:p>
        </w:tc>
        <w:tc>
          <w:tcPr>
            <w:tcW w:w="1785" w:type="dxa"/>
            <w:vAlign w:val="center"/>
          </w:tcPr>
          <w:p>
            <w:pPr>
              <w:pStyle w:val="12"/>
              <w:rPr>
                <w:rFonts w:hint="default" w:ascii="Times New Roman" w:hAnsi="Times New Roman" w:eastAsia="仿宋_GB2312" w:cs="Times New Roman"/>
                <w:b w:val="0"/>
                <w:bCs w:val="0"/>
                <w:kern w:val="0"/>
                <w:sz w:val="18"/>
                <w:szCs w:val="18"/>
                <w:lang w:val="en-US" w:eastAsia="zh-CN" w:bidi="ar-SA"/>
              </w:rPr>
            </w:pPr>
            <w:r>
              <w:rPr>
                <w:rFonts w:hint="default" w:ascii="Times New Roman" w:hAnsi="Times New Roman" w:eastAsia="仿宋_GB2312" w:cs="Times New Roman"/>
                <w:b w:val="0"/>
                <w:bCs w:val="0"/>
                <w:kern w:val="0"/>
                <w:sz w:val="18"/>
                <w:szCs w:val="18"/>
                <w:lang w:val="en-US" w:eastAsia="zh-CN" w:bidi="ar-SA"/>
              </w:rPr>
              <w:t>1.责令改正；</w:t>
            </w:r>
          </w:p>
          <w:p>
            <w:pPr>
              <w:pStyle w:val="12"/>
              <w:rPr>
                <w:rFonts w:hint="default" w:ascii="Times New Roman" w:hAnsi="Times New Roman" w:eastAsia="仿宋_GB2312" w:cs="Times New Roman"/>
                <w:b w:val="0"/>
                <w:bCs w:val="0"/>
                <w:kern w:val="0"/>
                <w:sz w:val="18"/>
                <w:szCs w:val="18"/>
                <w:lang w:val="en-US" w:eastAsia="zh-CN" w:bidi="ar-SA"/>
              </w:rPr>
            </w:pPr>
            <w:r>
              <w:rPr>
                <w:rFonts w:hint="default" w:ascii="Times New Roman" w:hAnsi="Times New Roman" w:eastAsia="仿宋_GB2312" w:cs="Times New Roman"/>
                <w:b w:val="0"/>
                <w:bCs w:val="0"/>
                <w:kern w:val="0"/>
                <w:sz w:val="18"/>
                <w:szCs w:val="18"/>
                <w:lang w:val="en-US" w:eastAsia="zh-CN" w:bidi="ar-SA"/>
              </w:rPr>
              <w:t>2.没收违法所得；</w:t>
            </w:r>
          </w:p>
          <w:p>
            <w:pPr>
              <w:pStyle w:val="12"/>
              <w:rPr>
                <w:rFonts w:hint="default" w:ascii="Times New Roman" w:hAnsi="Times New Roman" w:eastAsia="仿宋_GB2312" w:cs="Times New Roman"/>
                <w:b w:val="0"/>
                <w:bCs w:val="0"/>
                <w:kern w:val="0"/>
                <w:sz w:val="18"/>
                <w:szCs w:val="18"/>
                <w:lang w:val="en-US" w:eastAsia="zh-CN" w:bidi="ar-SA"/>
              </w:rPr>
            </w:pPr>
            <w:r>
              <w:rPr>
                <w:rFonts w:hint="default" w:ascii="Times New Roman" w:hAnsi="Times New Roman" w:eastAsia="仿宋_GB2312" w:cs="Times New Roman"/>
                <w:b w:val="0"/>
                <w:bCs w:val="0"/>
                <w:kern w:val="0"/>
                <w:sz w:val="18"/>
                <w:szCs w:val="18"/>
                <w:lang w:val="en-US" w:eastAsia="zh-CN" w:bidi="ar-SA"/>
              </w:rPr>
              <w:t>3.罚款；</w:t>
            </w:r>
          </w:p>
          <w:p>
            <w:pPr>
              <w:pStyle w:val="12"/>
              <w:rPr>
                <w:rFonts w:hint="default" w:ascii="Times New Roman" w:hAnsi="Times New Roman" w:eastAsia="仿宋_GB2312" w:cs="Times New Roman"/>
                <w:b w:val="0"/>
                <w:bCs w:val="0"/>
                <w:kern w:val="0"/>
                <w:sz w:val="18"/>
                <w:szCs w:val="18"/>
                <w:lang w:val="en-US" w:eastAsia="zh-CN" w:bidi="ar-SA"/>
              </w:rPr>
            </w:pPr>
            <w:r>
              <w:rPr>
                <w:rFonts w:hint="default" w:ascii="Times New Roman" w:hAnsi="Times New Roman" w:eastAsia="仿宋_GB2312" w:cs="Times New Roman"/>
                <w:b w:val="0"/>
                <w:bCs w:val="0"/>
                <w:kern w:val="0"/>
                <w:sz w:val="18"/>
                <w:szCs w:val="18"/>
                <w:lang w:val="en-US" w:eastAsia="zh-CN" w:bidi="ar-SA"/>
              </w:rPr>
              <w:t>4.责令停业整顿；</w:t>
            </w:r>
          </w:p>
          <w:p>
            <w:pPr>
              <w:pStyle w:val="12"/>
              <w:rPr>
                <w:rFonts w:hint="default" w:ascii="Times New Roman" w:hAnsi="Times New Roman" w:eastAsia="仿宋_GB2312" w:cs="Times New Roman"/>
                <w:b w:val="0"/>
                <w:bCs w:val="0"/>
                <w:kern w:val="0"/>
                <w:sz w:val="18"/>
                <w:szCs w:val="18"/>
                <w:lang w:val="en-US" w:eastAsia="zh-CN" w:bidi="ar-SA"/>
              </w:rPr>
            </w:pPr>
            <w:r>
              <w:rPr>
                <w:rFonts w:hint="default" w:ascii="Times New Roman" w:hAnsi="Times New Roman" w:eastAsia="仿宋_GB2312" w:cs="Times New Roman"/>
                <w:b w:val="0"/>
                <w:bCs w:val="0"/>
                <w:kern w:val="0"/>
                <w:sz w:val="18"/>
                <w:szCs w:val="18"/>
                <w:lang w:val="en-US" w:eastAsia="zh-CN" w:bidi="ar-SA"/>
              </w:rPr>
              <w:t>5.降低资质等级；</w:t>
            </w:r>
          </w:p>
          <w:p>
            <w:pPr>
              <w:pStyle w:val="12"/>
              <w:rPr>
                <w:rFonts w:hint="default" w:ascii="Times New Roman" w:hAnsi="Times New Roman" w:eastAsia="仿宋_GB2312" w:cs="Times New Roman"/>
                <w:b w:val="0"/>
                <w:bCs w:val="0"/>
              </w:rPr>
            </w:pPr>
            <w:r>
              <w:rPr>
                <w:rFonts w:hint="default" w:ascii="Times New Roman" w:hAnsi="Times New Roman" w:eastAsia="仿宋_GB2312" w:cs="Times New Roman"/>
                <w:b w:val="0"/>
                <w:bCs w:val="0"/>
                <w:kern w:val="0"/>
                <w:sz w:val="18"/>
                <w:szCs w:val="18"/>
                <w:lang w:val="en-US" w:eastAsia="zh-CN" w:bidi="ar-SA"/>
              </w:rPr>
              <w:t>6.吊销资质证书。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4" w:hRule="atLeast"/>
          <w:jc w:val="center"/>
        </w:trPr>
        <w:tc>
          <w:tcPr>
            <w:tcW w:w="1096" w:type="dxa"/>
            <w:vMerge w:val="restart"/>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w:t>
            </w:r>
          </w:p>
        </w:tc>
        <w:tc>
          <w:tcPr>
            <w:tcW w:w="966" w:type="dxa"/>
            <w:vMerge w:val="restart"/>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业务承揽</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5</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转包或违法分包小散工程</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第六十七条 承包单位将承包的工程转包的，或者违反本法规定进行分包的，责令改正，没收违法所得，并处罚款，可以责令停业整顿，降低资质等级；情节严重的，吊销资质证书。</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二条违反本条例规定，承包单位将承包的工程转包或者违法分包的，责令改正，没收违法所得，对施工单位处工程合同价款百分之零点五以上百分之一以下的罚款；可以责令停业整顿，降低资质等级；情节严重的，吊销资质证书。</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《建筑法》第六十七条</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《建设工程质量管理条例》第六十二条</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2.没收违法所得；</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4.责令停业整顿；5.降低资质等级；</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6.吊销资质证书。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98"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6</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安全生产许可证有效期满未办理延期手续，继续从事建筑施工活动的</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第二十五条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《建筑施工企业安全生产许可证管理规定》第二十五条</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1.责令停止施工；</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2.没收违法所得；</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2"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7</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未取得安全生产许可证擅自从事建筑施工活动的</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第二十四条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《建筑施工企业安全生产许可证管理规定》第二十四条</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1.责令停止施工；</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2.没收违法所得；</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2"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restart"/>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安全管理</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8</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未设立安全生产管理机构、配备专职安全生产管理人员对施工或作业现场进行安全管理</w:t>
            </w:r>
          </w:p>
        </w:tc>
        <w:tc>
          <w:tcPr>
            <w:tcW w:w="6066"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第六十二条　违反本条例的规定，施工单位有下列行为之一的，责令限期改正；逾期未改正的，责令停业整顿，依照《中华人民共和国安全生产法》的有关规定处以罚款。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 xml:space="preserve">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 </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xml:space="preserve">（一）未按照规定设置安全生产管理机构或者配备安全生产管理人员的； </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xml:space="preserve">（二）建筑施工单位的主要负责人和安全生产管理人员未按照规定经考核合格的； </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xml:space="preserve">（七）特种作业人员未按照规定经专门的安全作业培训并取得相应资格，上岗作业的。 </w:t>
            </w:r>
          </w:p>
        </w:tc>
        <w:tc>
          <w:tcPr>
            <w:tcW w:w="1931"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《建设工程安全生产管理条例》第六十二条</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《中华人民共和国安全生产法》第九十四条</w:t>
            </w:r>
          </w:p>
        </w:tc>
        <w:tc>
          <w:tcPr>
            <w:tcW w:w="1785"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2.责令停业整顿；</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201"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9</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施工单位的主要负责人、项目负责人、专职安全生产管理人员、作业人员或者特种作业人员，未经安全教育培训或者经考核不合格即从事相关工作的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88" w:hRule="atLeast"/>
          <w:jc w:val="center"/>
        </w:trPr>
        <w:tc>
          <w:tcPr>
            <w:tcW w:w="1096" w:type="dxa"/>
            <w:vMerge w:val="restart"/>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w:t>
            </w:r>
          </w:p>
        </w:tc>
        <w:tc>
          <w:tcPr>
            <w:tcW w:w="966" w:type="dxa"/>
            <w:vMerge w:val="restart"/>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安全管理</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10</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未在施工现场的危险部位设置明显的安全警示标志，或者未按照国家有关规定在施工现场设置消防通道、消防水源、配备消防设施和灭火器材的</w:t>
            </w:r>
          </w:p>
        </w:tc>
        <w:tc>
          <w:tcPr>
            <w:tcW w:w="6066"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第六十二条　违反本条例的规定，施工单位有下列行为之一的，责令限期改正；逾期未改正的，责令停业整顿，依照《中华人民共和国安全生产法》的有关规定处以罚款。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 xml:space="preserve">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xml:space="preserve">（一）未在有较大危险因素的生产经营场所和有关设施、设备上设置明显的安全警示标志的； </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xml:space="preserve">（四）未为从业人员提供符合国家标准或者行业标准的劳动防护用品的；  </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xml:space="preserve">（六）使用应当淘汰的危及生产安全的工艺、设备的。 </w:t>
            </w:r>
          </w:p>
        </w:tc>
        <w:tc>
          <w:tcPr>
            <w:tcW w:w="1931"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《建设工程安全生产管理条例》第六十二条</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《中华人民共和国安全生产法》第九十六条</w:t>
            </w:r>
          </w:p>
        </w:tc>
        <w:tc>
          <w:tcPr>
            <w:tcW w:w="1785"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2.责令停业整顿；</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4"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11</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未向作业人员提供安全防护用具和安全防护服装的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75"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12</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使用国家明令淘汰、禁止使用的危及施工安全的工艺、设备的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25"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13</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施工前未对有关安全施工的技术要求作出详细说明的</w:t>
            </w:r>
          </w:p>
        </w:tc>
        <w:tc>
          <w:tcPr>
            <w:tcW w:w="6066"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一</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施工前未对有关安全施工的技术要求作出详细说明的；</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五</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未对因建设工程施工可能造成损害的毗邻建筑物、构筑物和地下管线等采取专项防护措施的。</w:t>
            </w:r>
          </w:p>
        </w:tc>
        <w:tc>
          <w:tcPr>
            <w:tcW w:w="1931"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《建设工程安全生产管理条例》第六十四条</w:t>
            </w:r>
          </w:p>
        </w:tc>
        <w:tc>
          <w:tcPr>
            <w:tcW w:w="1785"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2.责令停业整顿；</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42"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14</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未对因建设工程施工可能造成损害的毗邻建筑物、构筑物和地下管线等采取专项防护措施的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82"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15</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在施工组织设计中未编制安全技术措施、施工现场临时用电方案或者专项施工方案的</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 xml:space="preserve">    第六十五条　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四</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在施工组织设计中未编制安全技术措施、施工现场临时用电方案或者专项施工方案的。</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《建设工程安全生产管理条例》第六十五条</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1.责令限期改正；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2.责令停业整顿；</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4.降低资质等级；</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5.吊销资质证书。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316" w:hRule="atLeast"/>
          <w:jc w:val="center"/>
        </w:trPr>
        <w:tc>
          <w:tcPr>
            <w:tcW w:w="1096" w:type="dxa"/>
            <w:vMerge w:val="restart"/>
            <w:tcBorders>
              <w:top w:val="single" w:color="auto" w:sz="4" w:space="0"/>
            </w:tcBorders>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w:t>
            </w: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pStyle w:val="2"/>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pStyle w:val="2"/>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pStyle w:val="2"/>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pStyle w:val="2"/>
              <w:ind w:left="0" w:leftChars="0" w:right="0" w:rightChars="0" w:firstLine="0" w:firstLineChars="0"/>
              <w:jc w:val="center"/>
              <w:rPr>
                <w:rFonts w:hint="default" w:ascii="Times New Roman" w:hAnsi="Times New Roman" w:eastAsia="仿宋_GB2312" w:cs="Times New Roman"/>
                <w:b w:val="0"/>
                <w:bCs w:val="0"/>
                <w:kern w:val="0"/>
                <w:sz w:val="18"/>
                <w:szCs w:val="18"/>
              </w:rPr>
            </w:pPr>
          </w:p>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施工单位</w:t>
            </w:r>
          </w:p>
        </w:tc>
        <w:tc>
          <w:tcPr>
            <w:tcW w:w="966" w:type="dxa"/>
            <w:vMerge w:val="restart"/>
            <w:tcBorders>
              <w:top w:val="single" w:color="auto" w:sz="4" w:space="0"/>
            </w:tcBorders>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文明施工</w:t>
            </w:r>
          </w:p>
        </w:tc>
        <w:tc>
          <w:tcPr>
            <w:tcW w:w="616" w:type="dxa"/>
            <w:tcBorders>
              <w:top w:val="single" w:color="auto" w:sz="4" w:space="0"/>
            </w:tcBorders>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16</w:t>
            </w:r>
          </w:p>
        </w:tc>
        <w:tc>
          <w:tcPr>
            <w:tcW w:w="2409" w:type="dxa"/>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在尚未竣工的建筑物内设置员工集体宿舍的</w:t>
            </w:r>
          </w:p>
        </w:tc>
        <w:tc>
          <w:tcPr>
            <w:tcW w:w="6066"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第六十四条　违反本条例的规定，施工单位有下列行为之一的，责令限期改正；逾期未改正的，责令停业整顿，并处5万元以上10万元以下的罚款；造成重大安全事故，构成犯罪的，对直接责任人员，依照刑法有关规定追究刑事责任：</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二</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未根据不同施工阶段和周围环境及季节、气候的变化，在施工现场采取相应的安全施工措施，或者在城市市区内的建设工程的施工现场未实行封闭围挡的；</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三</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在尚未竣工的建筑物内设置员工集体宿舍的；</w:t>
            </w:r>
            <w:r>
              <w:rPr>
                <w:rFonts w:hint="default" w:ascii="Times New Roman" w:hAnsi="Times New Roman" w:eastAsia="仿宋_GB2312" w:cs="Times New Roman"/>
                <w:b w:val="0"/>
                <w:bCs w:val="0"/>
                <w:kern w:val="0"/>
                <w:sz w:val="18"/>
                <w:szCs w:val="18"/>
              </w:rPr>
              <w:br w:type="textWrapping"/>
            </w:r>
            <w:r>
              <w:rPr>
                <w:rFonts w:hint="default" w:ascii="Times New Roman" w:hAnsi="Times New Roman" w:eastAsia="仿宋_GB2312" w:cs="Times New Roman"/>
                <w:b w:val="0"/>
                <w:bCs w:val="0"/>
                <w:kern w:val="0"/>
                <w:sz w:val="18"/>
                <w:szCs w:val="18"/>
              </w:rPr>
              <w:t>　　</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四</w:t>
            </w:r>
            <w:r>
              <w:rPr>
                <w:rFonts w:hint="eastAsia" w:ascii="Times New Roman" w:hAnsi="Times New Roman" w:eastAsia="仿宋_GB2312" w:cs="Times New Roman"/>
                <w:b w:val="0"/>
                <w:bCs w:val="0"/>
                <w:kern w:val="0"/>
                <w:sz w:val="18"/>
                <w:szCs w:val="18"/>
                <w:lang w:eastAsia="zh-CN"/>
              </w:rPr>
              <w:t>）</w:t>
            </w:r>
            <w:r>
              <w:rPr>
                <w:rFonts w:hint="default" w:ascii="Times New Roman" w:hAnsi="Times New Roman" w:eastAsia="仿宋_GB2312" w:cs="Times New Roman"/>
                <w:b w:val="0"/>
                <w:bCs w:val="0"/>
                <w:kern w:val="0"/>
                <w:sz w:val="18"/>
                <w:szCs w:val="18"/>
              </w:rPr>
              <w:t>施工现场临时搭建的建筑物不符合安全使用要求的；</w:t>
            </w:r>
          </w:p>
        </w:tc>
        <w:tc>
          <w:tcPr>
            <w:tcW w:w="1931"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《建设工程安全生产管理条例》第六十四条</w:t>
            </w:r>
          </w:p>
        </w:tc>
        <w:tc>
          <w:tcPr>
            <w:tcW w:w="1785"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1.责令限期改正；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2.责令停业整顿；</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24"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17</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施工现场临时搭建的建筑物不符合安全使用要求的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828"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18</w:t>
            </w:r>
          </w:p>
        </w:tc>
        <w:tc>
          <w:tcPr>
            <w:tcW w:w="2409" w:type="dxa"/>
            <w:tcBorders>
              <w:bottom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未根据不同施工阶段和周围环境及季节、气候的变化，在施工现场采取相应的安全施工措施。</w:t>
            </w:r>
          </w:p>
        </w:tc>
        <w:tc>
          <w:tcPr>
            <w:tcW w:w="6066" w:type="dxa"/>
            <w:vMerge w:val="continue"/>
            <w:tcBorders>
              <w:bottom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tcBorders>
              <w:bottom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tcBorders>
              <w:bottom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21"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restart"/>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主要负责人、项目负责人履职</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19</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未建立项目安全生产管理体系，明确项目管理人员安全职责</w:t>
            </w:r>
          </w:p>
        </w:tc>
        <w:tc>
          <w:tcPr>
            <w:tcW w:w="6066" w:type="dxa"/>
            <w:vMerge w:val="restart"/>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第三十二条　主要负责人、项目负责人未按规定履行安全生产管理职责的，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1931" w:type="dxa"/>
            <w:vMerge w:val="restart"/>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《建筑施工企业主要负责人、项目负责人和专职安全生产管理人员安全生产管理规定》第三十二条</w:t>
            </w:r>
          </w:p>
        </w:tc>
        <w:tc>
          <w:tcPr>
            <w:tcW w:w="1785" w:type="dxa"/>
            <w:vMerge w:val="restart"/>
            <w:tcBorders>
              <w:top w:val="single" w:color="auto" w:sz="4" w:space="0"/>
            </w:tcBorders>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1.责令限期改正；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2.责令停业整顿；</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4.依法暂扣或者吊销安全生产考核合格证书。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4"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20</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未落实安全生产管理制度</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7"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21</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未监控危险性较大分部分项工程</w:t>
            </w:r>
          </w:p>
        </w:tc>
        <w:tc>
          <w:tcPr>
            <w:tcW w:w="6066" w:type="dxa"/>
            <w:vMerge w:val="continue"/>
            <w:vAlign w:val="center"/>
          </w:tcPr>
          <w:p>
            <w:pPr>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42"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22</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未及时排查处理施工现场安全事故隐患</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58"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restart"/>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安全员履职</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23</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未现场监督危险性较大的分部分项工程安全专项施工方案实施的</w:t>
            </w:r>
          </w:p>
        </w:tc>
        <w:tc>
          <w:tcPr>
            <w:tcW w:w="6066"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第三十三条　专职安全生产管理人员未按规定履行安全生产管理职责的，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1931"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《建筑施工企业主要负责人、项目负责人和专职安全生产管理人员安全生产管理规定》第三十三条</w:t>
            </w:r>
          </w:p>
        </w:tc>
        <w:tc>
          <w:tcPr>
            <w:tcW w:w="1785" w:type="dxa"/>
            <w:vMerge w:val="restart"/>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1.责令限期改正；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2.罚款；</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3.暂扣或者吊销安全生产考核合格证书。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43"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24</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每天在施工现场开展安全检查，对检查中发现的安全事故隐患，未立即处理的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6" w:hRule="atLeast"/>
          <w:jc w:val="center"/>
        </w:trPr>
        <w:tc>
          <w:tcPr>
            <w:tcW w:w="1096" w:type="dxa"/>
            <w:vMerge w:val="continue"/>
            <w:vAlign w:val="center"/>
          </w:tcPr>
          <w:p>
            <w:pPr>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Merge w:val="continue"/>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25</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对检查中发现的安全隐患，不能处理的，未及时报告项目负责人和企业安全生产管理机构</w:t>
            </w:r>
          </w:p>
        </w:tc>
        <w:tc>
          <w:tcPr>
            <w:tcW w:w="6066"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931"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c>
          <w:tcPr>
            <w:tcW w:w="1785" w:type="dxa"/>
            <w:vMerge w:val="continue"/>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57" w:hRule="atLeast"/>
          <w:jc w:val="center"/>
        </w:trPr>
        <w:tc>
          <w:tcPr>
            <w:tcW w:w="1096" w:type="dxa"/>
            <w:vMerge w:val="continue"/>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p>
        </w:tc>
        <w:tc>
          <w:tcPr>
            <w:tcW w:w="966" w:type="dxa"/>
            <w:vAlign w:val="center"/>
          </w:tcPr>
          <w:p>
            <w:pPr>
              <w:widowControl/>
              <w:adjustRightInd w:val="0"/>
              <w:snapToGrid w:val="0"/>
              <w:spacing w:line="240" w:lineRule="exact"/>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安管人员证书管理</w:t>
            </w:r>
          </w:p>
        </w:tc>
        <w:tc>
          <w:tcPr>
            <w:tcW w:w="616" w:type="dxa"/>
            <w:vAlign w:val="center"/>
          </w:tcPr>
          <w:p>
            <w:pPr>
              <w:widowControl/>
              <w:adjustRightInd w:val="0"/>
              <w:snapToGrid w:val="0"/>
              <w:spacing w:line="240" w:lineRule="exact"/>
              <w:ind w:left="0" w:leftChars="0" w:right="0" w:rightChars="0" w:firstLine="0" w:firstLineChars="0"/>
              <w:jc w:val="center"/>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26</w:t>
            </w:r>
          </w:p>
        </w:tc>
        <w:tc>
          <w:tcPr>
            <w:tcW w:w="2409"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“安管人员（企业主要负责人、项目负责人和专职安全生产管理人员）”未按规定办理证书变更的</w:t>
            </w:r>
          </w:p>
        </w:tc>
        <w:tc>
          <w:tcPr>
            <w:tcW w:w="6066"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第三十一条　“安管人员”未按规定办理证书变更的，责令限期改正，并处1000元以上5000元以下的罚款。</w:t>
            </w:r>
          </w:p>
        </w:tc>
        <w:tc>
          <w:tcPr>
            <w:tcW w:w="1931"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《建筑施工企业主要负责人、项目负责人和专职安全生产管理人员安全生产管理规定》第三十一条</w:t>
            </w:r>
          </w:p>
        </w:tc>
        <w:tc>
          <w:tcPr>
            <w:tcW w:w="1785" w:type="dxa"/>
            <w:vAlign w:val="center"/>
          </w:tcPr>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1.责令限期改正；</w:t>
            </w:r>
          </w:p>
          <w:p>
            <w:pPr>
              <w:widowControl/>
              <w:adjustRightInd w:val="0"/>
              <w:snapToGrid w:val="0"/>
              <w:spacing w:line="240" w:lineRule="exact"/>
              <w:jc w:val="left"/>
              <w:rPr>
                <w:rFonts w:hint="default" w:ascii="Times New Roman" w:hAnsi="Times New Roman" w:eastAsia="仿宋_GB2312" w:cs="Times New Roman"/>
                <w:b w:val="0"/>
                <w:bCs w:val="0"/>
                <w:kern w:val="0"/>
                <w:sz w:val="18"/>
                <w:szCs w:val="18"/>
              </w:rPr>
            </w:pPr>
            <w:r>
              <w:rPr>
                <w:rFonts w:hint="default" w:ascii="Times New Roman" w:hAnsi="Times New Roman" w:eastAsia="仿宋_GB2312" w:cs="Times New Roman"/>
                <w:b w:val="0"/>
                <w:bCs w:val="0"/>
                <w:kern w:val="0"/>
                <w:sz w:val="18"/>
                <w:szCs w:val="18"/>
              </w:rPr>
              <w:t>2.罚款。</w:t>
            </w:r>
          </w:p>
        </w:tc>
      </w:tr>
    </w:tbl>
    <w:p>
      <w:pPr>
        <w:pStyle w:val="11"/>
        <w:jc w:val="both"/>
        <w:rPr>
          <w:rFonts w:hint="eastAsia" w:ascii="仿宋_GB2312" w:hAnsi="仿宋_GB2312" w:eastAsia="仿宋_GB2312" w:cs="仿宋_GB2312"/>
          <w:b w:val="0"/>
          <w:bCs w:val="0"/>
          <w:kern w:val="0"/>
          <w:sz w:val="18"/>
          <w:szCs w:val="18"/>
          <w:lang w:val="en-US" w:eastAsia="zh-CN" w:bidi="ar-SA"/>
        </w:rPr>
      </w:pPr>
      <w:r>
        <w:rPr>
          <w:rFonts w:hint="eastAsia" w:ascii="仿宋_GB2312" w:hAnsi="仿宋_GB2312" w:eastAsia="仿宋_GB2312" w:cs="仿宋_GB2312"/>
          <w:b w:val="0"/>
          <w:bCs w:val="0"/>
          <w:kern w:val="0"/>
          <w:sz w:val="18"/>
          <w:szCs w:val="18"/>
          <w:lang w:val="en-US" w:eastAsia="zh-CN" w:bidi="ar-SA"/>
        </w:rPr>
        <w:t>注：相关法律法规修订、修正或有新的法律法规，则按现行有效法律法规执行</w:t>
      </w:r>
    </w:p>
    <w:p>
      <w:pPr>
        <w:rPr>
          <w:rFonts w:hint="default" w:ascii="Times New Roman" w:hAnsi="Times New Roman" w:eastAsia="仿宋" w:cs="Times New Roman"/>
          <w:b w:val="0"/>
          <w:bCs w:val="0"/>
          <w:kern w:val="0"/>
          <w:sz w:val="18"/>
          <w:szCs w:val="18"/>
          <w:lang w:val="en-US" w:eastAsia="zh-CN" w:bidi="ar-SA"/>
        </w:rPr>
        <w:sectPr>
          <w:footerReference r:id="rId5" w:type="default"/>
          <w:pgSz w:w="16838" w:h="11905" w:orient="landscape"/>
          <w:pgMar w:top="1587" w:right="1134" w:bottom="1247" w:left="1417" w:header="850" w:footer="992" w:gutter="0"/>
          <w:pgNumType w:fmt="numberInDash"/>
          <w:cols w:space="0" w:num="1"/>
          <w:rtlGutter w:val="0"/>
          <w:docGrid w:type="lines" w:linePitch="316"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L+UoUq8BAABL&#10;AwAADgAAAAAAAAABACAAAAAeAQAAZHJzL2Uyb0RvYy54bWxQSwUGAAAAAAYABgBZAQAAPwUAAAAA&#10;">
              <v:fill on="f" focussize="0,0"/>
              <v:stroke on="f"/>
              <v:imagedata o:title=""/>
              <o:lock v:ext="edit" aspectratio="f"/>
              <v:textbox inset="0mm,0mm,0mm,0mm" style="mso-fit-shape-to-text:t;">
                <w:txbxContent>
                  <w:p>
                    <w:pPr>
                      <w:snapToGrid w:val="0"/>
                      <w:rPr>
                        <w:sz w:val="24"/>
                        <w:szCs w:val="24"/>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Style w:val="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635</wp:posOffset>
              </wp:positionV>
              <wp:extent cx="860425" cy="230505"/>
              <wp:effectExtent l="0" t="0" r="0" b="0"/>
              <wp:wrapNone/>
              <wp:docPr id="4" name="文本框5"/>
              <wp:cNvGraphicFramePr/>
              <a:graphic xmlns:a="http://schemas.openxmlformats.org/drawingml/2006/main">
                <a:graphicData uri="http://schemas.microsoft.com/office/word/2010/wordprocessingShape">
                  <wps:wsp>
                    <wps:cNvSpPr txBox="1"/>
                    <wps:spPr>
                      <a:xfrm>
                        <a:off x="0" y="0"/>
                        <a:ext cx="860425" cy="230505"/>
                      </a:xfrm>
                      <a:prstGeom prst="rect">
                        <a:avLst/>
                      </a:prstGeom>
                      <a:noFill/>
                      <a:ln>
                        <a:noFill/>
                      </a:ln>
                    </wps:spPr>
                    <wps:txbx>
                      <w:txbxContent>
                        <w:p>
                          <w:pPr>
                            <w:snapToGrid w:val="0"/>
                            <w:ind w:firstLine="280" w:firstLineChars="1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wps:txbx>
                    <wps:bodyPr vert="horz" wrap="square" lIns="0" tIns="0" rIns="0" bIns="0" anchor="t" anchorCtr="0" upright="0"/>
                  </wps:wsp>
                </a:graphicData>
              </a:graphic>
            </wp:anchor>
          </w:drawing>
        </mc:Choice>
        <mc:Fallback>
          <w:pict>
            <v:shape id="文本框5" o:spid="_x0000_s1026" o:spt="202" type="#_x0000_t202" style="position:absolute;left:0pt;margin-top:0.05pt;height:18.15pt;width:67.75pt;mso-position-horizontal:outside;mso-position-horizontal-relative:margin;z-index:251659264;mso-width-relative:page;mso-height-relative:page;" filled="f" stroked="f" coordsize="21600,21600" o:gfxdata="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dz0eNMAAAAEAQAADwAAAAAAAAABACAAAAAiAAAAZHJzL2Rvd25yZXYueG1sUEsBAhQA&#10;FAAAAAgAh07iQP/axD2+AQAAVQMAAA4AAAAAAAAAAQAgAAAAIgEAAGRycy9lMm9Eb2MueG1sUEsF&#10;BgAAAAAGAAYAWQEAAFIFAAAAAA==&#10;">
              <v:fill on="f" focussize="0,0"/>
              <v:stroke on="f"/>
              <v:imagedata o:title=""/>
              <o:lock v:ext="edit" aspectratio="f"/>
              <v:textbox inset="0mm,0mm,0mm,0mm">
                <w:txbxContent>
                  <w:p>
                    <w:pPr>
                      <w:snapToGrid w:val="0"/>
                      <w:ind w:firstLine="280" w:firstLineChars="10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- 7 -</w:t>
                    </w:r>
                    <w:r>
                      <w:rPr>
                        <w:rFonts w:hint="eastAsia" w:ascii="宋体" w:hAnsi="宋体" w:cs="宋体"/>
                        <w:sz w:val="28"/>
                        <w:szCs w:val="28"/>
                      </w:rPr>
                      <w:fldChar w:fldCharType="end"/>
                    </w: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153CE"/>
    <w:rsid w:val="5251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6">
    <w:name w:val="Default Paragraph Font"/>
    <w:link w:val="7"/>
    <w:semiHidden/>
    <w:uiPriority w:val="0"/>
    <w:rPr>
      <w:rFonts w:ascii="Verdana" w:hAnsi="Verdana"/>
      <w:kern w:val="0"/>
      <w:sz w:val="20"/>
      <w:szCs w:val="20"/>
      <w:lang w:eastAsia="en-US"/>
    </w:rPr>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1.正文"/>
    <w:basedOn w:val="1"/>
    <w:qFormat/>
    <w:uiPriority w:val="99"/>
    <w:rPr>
      <w:rFonts w:asci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 Char Char Char Char"/>
    <w:basedOn w:val="1"/>
    <w:link w:val="6"/>
    <w:qFormat/>
    <w:uiPriority w:val="0"/>
    <w:pPr>
      <w:widowControl/>
      <w:spacing w:after="160" w:afterLines="0" w:line="240" w:lineRule="exact"/>
      <w:jc w:val="left"/>
    </w:pPr>
    <w:rPr>
      <w:rFonts w:ascii="Verdana" w:hAnsi="Verdana"/>
      <w:kern w:val="0"/>
      <w:sz w:val="20"/>
      <w:szCs w:val="20"/>
      <w:lang w:eastAsia="en-US"/>
    </w:rPr>
  </w:style>
  <w:style w:type="character" w:styleId="8">
    <w:name w:val="page number"/>
    <w:basedOn w:val="6"/>
    <w:qFormat/>
    <w:uiPriority w:val="0"/>
  </w:style>
  <w:style w:type="paragraph" w:customStyle="1" w:styleId="9">
    <w:name w:val="BZWFS"/>
    <w:qFormat/>
    <w:uiPriority w:val="0"/>
    <w:pPr>
      <w:widowControl w:val="0"/>
      <w:spacing w:line="560" w:lineRule="exact"/>
      <w:ind w:firstLine="880" w:firstLineChars="200"/>
      <w:jc w:val="both"/>
    </w:pPr>
    <w:rPr>
      <w:rFonts w:ascii="仿宋_GB2312" w:hAnsi="仿宋_GB2312" w:eastAsia="仿宋_GB2312" w:cs="Times New Roman"/>
      <w:kern w:val="2"/>
      <w:sz w:val="32"/>
      <w:szCs w:val="32"/>
      <w:lang w:val="en-US" w:eastAsia="zh-CN" w:bidi="ar-SA"/>
    </w:rPr>
  </w:style>
  <w:style w:type="paragraph" w:customStyle="1" w:styleId="10">
    <w:name w:val="Char Char Char Char Char Char1 Char"/>
    <w:basedOn w:val="1"/>
    <w:qFormat/>
    <w:uiPriority w:val="0"/>
    <w:pPr>
      <w:widowControl/>
      <w:spacing w:after="160" w:line="240" w:lineRule="exact"/>
      <w:jc w:val="left"/>
    </w:pPr>
    <w:rPr>
      <w:rFonts w:hint="eastAsia" w:eastAsia="Times New Roman"/>
    </w:rPr>
  </w:style>
  <w:style w:type="paragraph" w:customStyle="1" w:styleId="11">
    <w:name w:val="BT00"/>
    <w:qFormat/>
    <w:uiPriority w:val="0"/>
    <w:pPr>
      <w:widowControl w:val="0"/>
      <w:jc w:val="center"/>
      <w:outlineLvl w:val="0"/>
    </w:pPr>
    <w:rPr>
      <w:rFonts w:ascii="宋体" w:hAnsi="宋体" w:eastAsia="宋体" w:cs="Times New Roman"/>
      <w:b/>
      <w:sz w:val="44"/>
      <w:szCs w:val="44"/>
      <w:lang w:val="en-US" w:eastAsia="zh-CN" w:bidi="ar-SA"/>
    </w:rPr>
  </w:style>
  <w:style w:type="paragraph" w:customStyle="1" w:styleId="12">
    <w:name w:val="非政府正文"/>
    <w:basedOn w:val="1"/>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2023-01-04T08:07:00Z</dcterms:created>
  <dc:creator>Administrator</dc:creator>
  <cp:lastModifiedBy>Administrator</cp:lastModifiedBy>
  <dcterms:modified xsi:type="dcterms:W3CDTF">2023-01-04T08:07:59Z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