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厦门市翔安区新圩镇人民政府</w:t>
      </w:r>
    </w:p>
    <w:p>
      <w:pPr>
        <w:pStyle w:val="5"/>
        <w:widowControl/>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2021年政府信息公开工作年度报告</w:t>
      </w:r>
    </w:p>
    <w:p>
      <w:pPr>
        <w:widowControl/>
        <w:shd w:val="clear" w:color="auto" w:fill="FFFFFF"/>
        <w:spacing w:line="600" w:lineRule="exact"/>
        <w:ind w:firstLine="480"/>
        <w:rPr>
          <w:rFonts w:ascii="黑体" w:hAnsi="黑体" w:eastAsia="黑体" w:cs="黑体"/>
          <w:kern w:val="0"/>
          <w:sz w:val="32"/>
          <w:szCs w:val="32"/>
        </w:rPr>
      </w:pPr>
    </w:p>
    <w:p>
      <w:pPr>
        <w:widowControl/>
        <w:shd w:val="clear" w:color="auto" w:fill="FFFFFF"/>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新修订的《中华人民共和国政府信息公开条例》文件要求，为切实做好政府信息公开工作，我镇结合工作实际，切实贯彻落实工作要求，并形成2021年政府信息公开工作年度报告。全文包括总体情况、主动公开政府信息情况、收到和处理政府信息公开申请情况、政府信息公开行政复议、行政诉讼情况、存在的主要问题及改进情况、其他需要报告的事项。公开内容的统计时限为2021年1月1日至2021年12月31日，报告将全文电子化在翔安区政府网上进行公开。如对本报告中任何疑问，请联系：电话：0592-7070005，邮箱：xaxx@xm.gov.cn。</w:t>
      </w:r>
    </w:p>
    <w:p>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一、总体情况</w:t>
      </w:r>
    </w:p>
    <w:p>
      <w:pPr>
        <w:widowControl/>
        <w:shd w:val="clear" w:color="auto" w:fill="FFFFFF"/>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w:t>
      </w:r>
      <w:r>
        <w:rPr>
          <w:rFonts w:hint="eastAsia" w:ascii="仿宋_GB2312" w:hAnsi="仿宋_GB2312" w:eastAsia="仿宋_GB2312" w:cs="仿宋_GB2312"/>
          <w:sz w:val="32"/>
          <w:szCs w:val="32"/>
        </w:rPr>
        <w:t>我镇按照区委、区政府统一部署，加强组织领导，健全工作机制，认真贯彻《条例》的各项要求，</w:t>
      </w:r>
      <w:r>
        <w:rPr>
          <w:rFonts w:hint="eastAsia" w:ascii="仿宋_GB2312" w:hAnsi="仿宋_GB2312" w:eastAsia="仿宋_GB2312" w:cs="仿宋_GB2312"/>
          <w:kern w:val="0"/>
          <w:sz w:val="32"/>
          <w:szCs w:val="32"/>
        </w:rPr>
        <w:t>坚持深化政府信息公开工作，以公开为常态，不公开为例外，</w:t>
      </w:r>
      <w:r>
        <w:rPr>
          <w:rFonts w:hint="eastAsia" w:ascii="仿宋_GB2312" w:hAnsi="仿宋_GB2312" w:eastAsia="仿宋_GB2312" w:cs="仿宋_GB2312"/>
          <w:sz w:val="32"/>
          <w:szCs w:val="32"/>
        </w:rPr>
        <w:t>大力推进了政府信息公开工作规范、有序、健康发展</w:t>
      </w:r>
      <w:r>
        <w:rPr>
          <w:rFonts w:hint="eastAsia" w:ascii="仿宋_GB2312" w:hAnsi="仿宋_GB2312" w:eastAsia="仿宋_GB2312" w:cs="仿宋_GB2312"/>
          <w:kern w:val="0"/>
          <w:sz w:val="32"/>
          <w:szCs w:val="32"/>
        </w:rPr>
        <w:t>。</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（一）主动公开政府信息情况</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20</w:t>
      </w:r>
      <w:r>
        <w:rPr>
          <w:rFonts w:hint="eastAsia" w:eastAsia="仿宋_GB2312"/>
          <w:kern w:val="0"/>
          <w:sz w:val="32"/>
          <w:szCs w:val="32"/>
        </w:rPr>
        <w:t>21</w:t>
      </w:r>
      <w:r>
        <w:rPr>
          <w:rFonts w:eastAsia="仿宋_GB2312"/>
          <w:kern w:val="0"/>
          <w:sz w:val="32"/>
          <w:szCs w:val="32"/>
        </w:rPr>
        <w:t>年度我镇通过翔安区政府网站共主动公开政府信息</w:t>
      </w:r>
      <w:r>
        <w:rPr>
          <w:rFonts w:hint="eastAsia" w:eastAsia="仿宋_GB2312"/>
          <w:kern w:val="0"/>
          <w:sz w:val="32"/>
          <w:szCs w:val="32"/>
        </w:rPr>
        <w:t>37</w:t>
      </w:r>
      <w:r>
        <w:rPr>
          <w:rFonts w:eastAsia="仿宋_GB2312"/>
          <w:kern w:val="0"/>
          <w:sz w:val="32"/>
          <w:szCs w:val="32"/>
        </w:rPr>
        <w:t>条</w:t>
      </w:r>
      <w:r>
        <w:rPr>
          <w:rFonts w:hint="eastAsia" w:eastAsia="仿宋_GB2312"/>
          <w:kern w:val="0"/>
          <w:sz w:val="32"/>
          <w:szCs w:val="32"/>
        </w:rPr>
        <w:t>，</w:t>
      </w:r>
      <w:r>
        <w:rPr>
          <w:rFonts w:eastAsia="仿宋_GB2312"/>
          <w:kern w:val="0"/>
          <w:sz w:val="32"/>
          <w:szCs w:val="32"/>
        </w:rPr>
        <w:t>其中</w:t>
      </w:r>
      <w:r>
        <w:rPr>
          <w:rFonts w:hint="eastAsia" w:eastAsia="仿宋_GB2312"/>
          <w:kern w:val="0"/>
          <w:sz w:val="32"/>
          <w:szCs w:val="32"/>
        </w:rPr>
        <w:t>单位机构设置</w:t>
      </w:r>
      <w:r>
        <w:rPr>
          <w:rFonts w:eastAsia="仿宋_GB2312"/>
          <w:kern w:val="0"/>
          <w:sz w:val="32"/>
          <w:szCs w:val="32"/>
        </w:rPr>
        <w:t>信息</w:t>
      </w:r>
      <w:r>
        <w:rPr>
          <w:rFonts w:hint="eastAsia" w:eastAsia="仿宋_GB2312"/>
          <w:kern w:val="0"/>
          <w:sz w:val="32"/>
          <w:szCs w:val="32"/>
        </w:rPr>
        <w:t>8</w:t>
      </w:r>
      <w:r>
        <w:rPr>
          <w:rFonts w:eastAsia="仿宋_GB2312"/>
          <w:kern w:val="0"/>
          <w:sz w:val="32"/>
          <w:szCs w:val="32"/>
        </w:rPr>
        <w:t>条，</w:t>
      </w:r>
      <w:r>
        <w:rPr>
          <w:rFonts w:hint="eastAsia" w:eastAsia="仿宋_GB2312"/>
          <w:kern w:val="0"/>
          <w:sz w:val="32"/>
          <w:szCs w:val="32"/>
        </w:rPr>
        <w:t>自身建设类</w:t>
      </w:r>
      <w:r>
        <w:rPr>
          <w:rFonts w:eastAsia="仿宋_GB2312"/>
          <w:kern w:val="0"/>
          <w:sz w:val="32"/>
          <w:szCs w:val="32"/>
        </w:rPr>
        <w:t>信息</w:t>
      </w:r>
      <w:r>
        <w:rPr>
          <w:rFonts w:hint="eastAsia" w:eastAsia="仿宋_GB2312"/>
          <w:kern w:val="0"/>
          <w:sz w:val="32"/>
          <w:szCs w:val="32"/>
        </w:rPr>
        <w:t>14</w:t>
      </w:r>
      <w:r>
        <w:rPr>
          <w:rFonts w:eastAsia="仿宋_GB2312"/>
          <w:kern w:val="0"/>
          <w:sz w:val="32"/>
          <w:szCs w:val="32"/>
        </w:rPr>
        <w:t>条，</w:t>
      </w:r>
      <w:r>
        <w:rPr>
          <w:rFonts w:hint="eastAsia" w:eastAsia="仿宋_GB2312"/>
          <w:kern w:val="0"/>
          <w:sz w:val="32"/>
          <w:szCs w:val="32"/>
        </w:rPr>
        <w:t>人事任免</w:t>
      </w:r>
      <w:r>
        <w:rPr>
          <w:rFonts w:eastAsia="仿宋_GB2312"/>
          <w:kern w:val="0"/>
          <w:sz w:val="32"/>
          <w:szCs w:val="32"/>
        </w:rPr>
        <w:t>信息</w:t>
      </w:r>
      <w:r>
        <w:rPr>
          <w:rFonts w:hint="eastAsia" w:eastAsia="仿宋_GB2312"/>
          <w:kern w:val="0"/>
          <w:sz w:val="32"/>
          <w:szCs w:val="32"/>
        </w:rPr>
        <w:t>2</w:t>
      </w:r>
      <w:r>
        <w:rPr>
          <w:rFonts w:eastAsia="仿宋_GB2312"/>
          <w:kern w:val="0"/>
          <w:sz w:val="32"/>
          <w:szCs w:val="32"/>
        </w:rPr>
        <w:t>条，安全生产、应急管理类信息</w:t>
      </w:r>
      <w:r>
        <w:rPr>
          <w:rFonts w:hint="eastAsia" w:eastAsia="仿宋_GB2312"/>
          <w:kern w:val="0"/>
          <w:sz w:val="32"/>
          <w:szCs w:val="32"/>
        </w:rPr>
        <w:t>10</w:t>
      </w:r>
      <w:r>
        <w:rPr>
          <w:rFonts w:eastAsia="仿宋_GB2312"/>
          <w:kern w:val="0"/>
          <w:sz w:val="32"/>
          <w:szCs w:val="32"/>
        </w:rPr>
        <w:t>条</w:t>
      </w:r>
      <w:r>
        <w:rPr>
          <w:rFonts w:hint="eastAsia" w:eastAsia="仿宋_GB2312"/>
          <w:kern w:val="0"/>
          <w:sz w:val="32"/>
          <w:szCs w:val="32"/>
        </w:rPr>
        <w:t>，科教文卫类信息1条，公共服务清单1条，行政审批目录清单1条</w:t>
      </w:r>
      <w:r>
        <w:rPr>
          <w:rFonts w:eastAsia="仿宋_GB2312"/>
          <w:kern w:val="0"/>
          <w:sz w:val="32"/>
          <w:szCs w:val="32"/>
        </w:rPr>
        <w:t>。</w:t>
      </w:r>
    </w:p>
    <w:p>
      <w:pPr>
        <w:widowControl/>
        <w:shd w:val="clear" w:color="auto" w:fill="FFFFFF"/>
        <w:spacing w:line="600" w:lineRule="exact"/>
        <w:ind w:firstLine="640" w:firstLineChars="200"/>
        <w:rPr>
          <w:rFonts w:eastAsia="仿宋_GB2312"/>
          <w:kern w:val="0"/>
          <w:sz w:val="32"/>
          <w:szCs w:val="32"/>
        </w:rPr>
      </w:pPr>
    </w:p>
    <w:p>
      <w:pPr>
        <w:widowControl/>
        <w:shd w:val="clear" w:color="auto" w:fill="FFFFFF"/>
        <w:spacing w:line="600" w:lineRule="exact"/>
        <w:ind w:firstLine="640" w:firstLineChars="200"/>
        <w:rPr>
          <w:rFonts w:eastAsia="仿宋_GB2312"/>
          <w:kern w:val="0"/>
          <w:sz w:val="32"/>
          <w:szCs w:val="32"/>
        </w:rPr>
      </w:pPr>
    </w:p>
    <w:p>
      <w:pPr>
        <w:widowControl/>
        <w:shd w:val="clear" w:color="auto" w:fill="FFFFFF"/>
        <w:spacing w:line="600" w:lineRule="exact"/>
        <w:ind w:firstLine="420" w:firstLineChars="200"/>
        <w:rPr>
          <w:rFonts w:eastAsia="仿宋_GB2312"/>
          <w:kern w:val="0"/>
          <w:sz w:val="32"/>
          <w:szCs w:val="32"/>
        </w:rPr>
      </w:pPr>
      <w:r>
        <w:drawing>
          <wp:anchor distT="0" distB="0" distL="114300" distR="114300" simplePos="0" relativeHeight="251658240" behindDoc="0" locked="0" layoutInCell="1" allowOverlap="1">
            <wp:simplePos x="0" y="0"/>
            <wp:positionH relativeFrom="column">
              <wp:posOffset>53340</wp:posOffset>
            </wp:positionH>
            <wp:positionV relativeFrom="paragraph">
              <wp:posOffset>199390</wp:posOffset>
            </wp:positionV>
            <wp:extent cx="5273675" cy="3557270"/>
            <wp:effectExtent l="0" t="0" r="3175" b="508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3557270"/>
                    </a:xfrm>
                    <a:prstGeom prst="rect">
                      <a:avLst/>
                    </a:prstGeom>
                    <a:noFill/>
                    <a:ln>
                      <a:noFill/>
                    </a:ln>
                  </pic:spPr>
                </pic:pic>
              </a:graphicData>
            </a:graphic>
          </wp:anchor>
        </w:drawing>
      </w:r>
    </w:p>
    <w:p>
      <w:pPr>
        <w:widowControl/>
        <w:shd w:val="clear" w:color="auto" w:fill="FFFFFF"/>
        <w:spacing w:line="600" w:lineRule="exact"/>
        <w:ind w:firstLine="640" w:firstLineChars="200"/>
        <w:rPr>
          <w:rFonts w:eastAsia="仿宋_GB2312"/>
          <w:kern w:val="0"/>
          <w:sz w:val="32"/>
          <w:szCs w:val="32"/>
        </w:rPr>
      </w:pP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（二）政府信息依申请公开办理情况</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今年来我镇收到政府信息公开申请</w:t>
      </w:r>
      <w:r>
        <w:rPr>
          <w:rFonts w:hint="eastAsia" w:eastAsia="仿宋_GB2312"/>
          <w:kern w:val="0"/>
          <w:sz w:val="32"/>
          <w:szCs w:val="32"/>
        </w:rPr>
        <w:t>7</w:t>
      </w:r>
      <w:r>
        <w:rPr>
          <w:rFonts w:eastAsia="仿宋_GB2312"/>
          <w:kern w:val="0"/>
          <w:sz w:val="32"/>
          <w:szCs w:val="32"/>
        </w:rPr>
        <w:t>件，已办结</w:t>
      </w:r>
      <w:r>
        <w:rPr>
          <w:rFonts w:hint="eastAsia" w:eastAsia="仿宋_GB2312"/>
          <w:kern w:val="0"/>
          <w:sz w:val="32"/>
          <w:szCs w:val="32"/>
        </w:rPr>
        <w:t>6件，转下年度继续办理1件</w:t>
      </w:r>
      <w:r>
        <w:rPr>
          <w:rFonts w:eastAsia="仿宋_GB2312"/>
          <w:kern w:val="0"/>
          <w:sz w:val="32"/>
          <w:szCs w:val="32"/>
        </w:rPr>
        <w:t>。</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（三）政府信息管理情况</w:t>
      </w:r>
    </w:p>
    <w:p>
      <w:pPr>
        <w:widowControl/>
        <w:shd w:val="clear" w:color="auto" w:fill="FFFFFF"/>
        <w:spacing w:line="600" w:lineRule="exact"/>
        <w:ind w:firstLine="640" w:firstLineChars="200"/>
        <w:rPr>
          <w:rFonts w:eastAsia="仿宋_GB2312"/>
          <w:kern w:val="0"/>
          <w:sz w:val="32"/>
          <w:szCs w:val="32"/>
        </w:rPr>
      </w:pPr>
      <w:r>
        <w:rPr>
          <w:rFonts w:hint="eastAsia" w:eastAsia="仿宋_GB2312"/>
          <w:kern w:val="0"/>
          <w:sz w:val="32"/>
          <w:szCs w:val="32"/>
        </w:rPr>
        <w:t>完善健全政府信息主动公开制度，明确政府信息公开的职责、内容、程序、方式和时限要求。坚持以公开为常态，不公开为例外，按照“谁制作、谁认定、谁办理”的原则，依法、主动、及时、准确公开政府信息。认真做好热点回应工作，围绕社会关注的热点问题，通过政府网站作出积极回应，阐明政策，解疑释惑，化解矛盾，理顺情绪，多方位推动政府信息公开工作全面实际</w:t>
      </w:r>
      <w:r>
        <w:rPr>
          <w:rFonts w:eastAsia="仿宋_GB2312"/>
          <w:kern w:val="0"/>
          <w:sz w:val="32"/>
          <w:szCs w:val="32"/>
        </w:rPr>
        <w:t>。</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（四）政府信息公开平台建设情况</w:t>
      </w:r>
    </w:p>
    <w:p>
      <w:pPr>
        <w:widowControl/>
        <w:shd w:val="clear" w:color="auto" w:fill="FFFFFF"/>
        <w:spacing w:line="600" w:lineRule="exact"/>
        <w:ind w:firstLine="640" w:firstLineChars="200"/>
        <w:rPr>
          <w:rFonts w:eastAsia="仿宋_GB2312"/>
          <w:kern w:val="0"/>
          <w:sz w:val="32"/>
          <w:szCs w:val="32"/>
        </w:rPr>
      </w:pPr>
      <w:r>
        <w:rPr>
          <w:rFonts w:hint="eastAsia" w:eastAsia="仿宋_GB2312"/>
          <w:kern w:val="0"/>
          <w:sz w:val="32"/>
          <w:szCs w:val="32"/>
        </w:rPr>
        <w:t>新圩</w:t>
      </w:r>
      <w:r>
        <w:rPr>
          <w:rFonts w:eastAsia="仿宋_GB2312"/>
          <w:kern w:val="0"/>
          <w:sz w:val="32"/>
          <w:szCs w:val="32"/>
        </w:rPr>
        <w:t>镇政府信息公开平台主要依托翔安区政府门户网站进行全文电子化公开</w:t>
      </w:r>
      <w:r>
        <w:rPr>
          <w:rFonts w:hint="eastAsia" w:eastAsia="仿宋_GB2312"/>
          <w:kern w:val="0"/>
          <w:sz w:val="32"/>
          <w:szCs w:val="32"/>
        </w:rPr>
        <w:t>，</w:t>
      </w:r>
      <w:r>
        <w:rPr>
          <w:rFonts w:eastAsia="仿宋_GB2312"/>
          <w:kern w:val="0"/>
          <w:sz w:val="32"/>
          <w:szCs w:val="32"/>
        </w:rPr>
        <w:t>在</w:t>
      </w:r>
      <w:r>
        <w:rPr>
          <w:rFonts w:hint="eastAsia" w:eastAsia="仿宋_GB2312"/>
          <w:kern w:val="0"/>
          <w:sz w:val="32"/>
          <w:szCs w:val="32"/>
        </w:rPr>
        <w:t>新圩</w:t>
      </w:r>
      <w:r>
        <w:rPr>
          <w:rFonts w:eastAsia="仿宋_GB2312"/>
          <w:kern w:val="0"/>
          <w:sz w:val="32"/>
          <w:szCs w:val="32"/>
        </w:rPr>
        <w:t>镇政府政务公开宣传栏进行纸质化公开</w:t>
      </w:r>
      <w:r>
        <w:rPr>
          <w:rFonts w:hint="eastAsia" w:eastAsia="仿宋_GB2312"/>
          <w:kern w:val="0"/>
          <w:sz w:val="32"/>
          <w:szCs w:val="32"/>
        </w:rPr>
        <w:t>，在便民服务大厅开设了办事指南查询机、意见征集、投诉电话、设立群众意见收集邮箱等，接受群众监督评议，对群众的意见建议及时反馈。</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（五）监督保障机制</w:t>
      </w:r>
    </w:p>
    <w:p>
      <w:pPr>
        <w:widowControl/>
        <w:shd w:val="clear" w:color="auto" w:fill="FFFFFF"/>
        <w:spacing w:line="600" w:lineRule="exact"/>
        <w:ind w:firstLine="640" w:firstLineChars="200"/>
        <w:rPr>
          <w:rFonts w:eastAsia="仿宋_GB2312"/>
          <w:kern w:val="0"/>
          <w:sz w:val="32"/>
          <w:szCs w:val="32"/>
        </w:rPr>
      </w:pPr>
      <w:r>
        <w:rPr>
          <w:rFonts w:eastAsia="仿宋_GB2312"/>
          <w:kern w:val="0"/>
          <w:sz w:val="32"/>
          <w:szCs w:val="32"/>
        </w:rPr>
        <w:t>严格按照区政府和</w:t>
      </w:r>
      <w:r>
        <w:rPr>
          <w:rFonts w:hint="eastAsia" w:eastAsia="仿宋_GB2312"/>
          <w:kern w:val="0"/>
          <w:sz w:val="32"/>
          <w:szCs w:val="32"/>
          <w:lang w:val="en-US" w:eastAsia="zh-CN"/>
        </w:rPr>
        <w:t>镇</w:t>
      </w:r>
      <w:r>
        <w:rPr>
          <w:rFonts w:eastAsia="仿宋_GB2312"/>
          <w:kern w:val="0"/>
          <w:sz w:val="32"/>
          <w:szCs w:val="32"/>
        </w:rPr>
        <w:t>有关规定落实政府信息公开保障监督，明确政务公开职能部门，落实信息公开主体责任，严格责任追究，同时，提高信息公开的针对性、严谨性和时效性。</w:t>
      </w:r>
      <w:r>
        <w:rPr>
          <w:rFonts w:hint="eastAsia" w:eastAsia="仿宋_GB2312"/>
          <w:kern w:val="0"/>
          <w:sz w:val="32"/>
          <w:szCs w:val="32"/>
          <w:lang w:val="en-US" w:eastAsia="zh-CN"/>
        </w:rPr>
        <w:t>适时参与工作考核，</w:t>
      </w:r>
      <w:bookmarkStart w:id="0" w:name="_GoBack"/>
      <w:bookmarkEnd w:id="0"/>
      <w:r>
        <w:rPr>
          <w:rFonts w:eastAsia="仿宋_GB2312"/>
          <w:kern w:val="0"/>
          <w:sz w:val="32"/>
          <w:szCs w:val="32"/>
        </w:rPr>
        <w:t>在必要情况下参与社会</w:t>
      </w:r>
      <w:r>
        <w:rPr>
          <w:rFonts w:hint="eastAsia" w:eastAsia="仿宋_GB2312"/>
          <w:kern w:val="0"/>
          <w:sz w:val="32"/>
          <w:szCs w:val="32"/>
          <w:lang w:val="en-US" w:eastAsia="zh-CN"/>
        </w:rPr>
        <w:t>评</w:t>
      </w:r>
      <w:r>
        <w:rPr>
          <w:rFonts w:eastAsia="仿宋_GB2312"/>
          <w:kern w:val="0"/>
          <w:sz w:val="32"/>
          <w:szCs w:val="32"/>
        </w:rPr>
        <w:t>议，加强对政府信息公开工作的自我监督检查，对发现的问题及时整改，不断提高政务公开工作质量。</w:t>
      </w:r>
    </w:p>
    <w:p>
      <w:pPr>
        <w:widowControl/>
        <w:shd w:val="clear" w:color="auto" w:fill="FFFFFF"/>
        <w:spacing w:line="600" w:lineRule="exact"/>
        <w:ind w:firstLine="640" w:firstLineChars="200"/>
        <w:rPr>
          <w:rFonts w:eastAsia="仿宋_GB2312"/>
          <w:kern w:val="0"/>
          <w:sz w:val="32"/>
          <w:szCs w:val="32"/>
        </w:rPr>
      </w:pPr>
    </w:p>
    <w:p>
      <w:pPr>
        <w:widowControl/>
        <w:shd w:val="clear" w:color="auto" w:fill="FFFFFF"/>
        <w:spacing w:line="600" w:lineRule="exact"/>
        <w:ind w:firstLine="640" w:firstLineChars="200"/>
        <w:rPr>
          <w:rFonts w:ascii="微软雅黑" w:hAnsi="微软雅黑" w:eastAsia="微软雅黑" w:cs="宋体"/>
          <w:kern w:val="0"/>
          <w:sz w:val="24"/>
        </w:rPr>
      </w:pPr>
      <w:r>
        <w:rPr>
          <w:rFonts w:hint="eastAsia" w:ascii="黑体" w:hAnsi="黑体" w:eastAsia="黑体" w:cs="黑体"/>
          <w:kern w:val="0"/>
          <w:sz w:val="32"/>
          <w:szCs w:val="32"/>
        </w:rPr>
        <w:t>二、主动公开政府信息情况</w:t>
      </w:r>
      <w:r>
        <w:rPr>
          <w:rFonts w:ascii="微软雅黑" w:hAnsi="微软雅黑" w:eastAsia="微软雅黑" w:cs="宋体"/>
          <w:b/>
          <w:bCs/>
          <w:kern w:val="0"/>
          <w:sz w:val="24"/>
        </w:rPr>
        <w:br w:type="textWrapping"/>
      </w:r>
    </w:p>
    <w:tbl>
      <w:tblPr>
        <w:tblStyle w:val="6"/>
        <w:tblW w:w="8322" w:type="dxa"/>
        <w:jc w:val="center"/>
        <w:tblInd w:w="-8"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3105"/>
        <w:gridCol w:w="1875"/>
        <w:gridCol w:w="1460"/>
        <w:gridCol w:w="188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83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第二十条第（一）项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信息内容</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本年新</w:t>
            </w:r>
          </w:p>
          <w:p>
            <w:pPr>
              <w:pStyle w:val="5"/>
              <w:widowControl/>
              <w:spacing w:line="440" w:lineRule="exact"/>
              <w:ind w:left="181" w:right="181"/>
            </w:pPr>
            <w:r>
              <w:rPr>
                <w:rFonts w:hint="eastAsia" w:ascii="微软雅黑" w:hAnsi="微软雅黑" w:eastAsia="微软雅黑" w:cs="微软雅黑"/>
                <w:color w:val="555555"/>
                <w:szCs w:val="24"/>
              </w:rPr>
              <w:t>制作数量</w:t>
            </w:r>
          </w:p>
        </w:tc>
        <w:tc>
          <w:tcPr>
            <w:tcW w:w="14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本年新</w:t>
            </w:r>
          </w:p>
          <w:p>
            <w:pPr>
              <w:pStyle w:val="5"/>
              <w:widowControl/>
              <w:spacing w:line="440" w:lineRule="exact"/>
              <w:ind w:left="181" w:right="181"/>
            </w:pPr>
            <w:r>
              <w:rPr>
                <w:rFonts w:hint="eastAsia" w:ascii="微软雅黑" w:hAnsi="微软雅黑" w:eastAsia="微软雅黑" w:cs="微软雅黑"/>
                <w:color w:val="555555"/>
                <w:szCs w:val="24"/>
              </w:rPr>
              <w:t>公开数量</w:t>
            </w:r>
          </w:p>
        </w:tc>
        <w:tc>
          <w:tcPr>
            <w:tcW w:w="188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对外公开总数量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rPr>
                <w:rFonts w:ascii="微软雅黑" w:hAnsi="微软雅黑" w:eastAsia="微软雅黑" w:cs="微软雅黑"/>
                <w:color w:val="555555"/>
                <w:szCs w:val="24"/>
              </w:rPr>
            </w:pPr>
            <w:r>
              <w:rPr>
                <w:rFonts w:hint="eastAsia" w:ascii="微软雅黑" w:hAnsi="微软雅黑" w:eastAsia="微软雅黑" w:cs="微软雅黑"/>
                <w:color w:val="555555"/>
                <w:szCs w:val="24"/>
              </w:rPr>
              <w:t>规章</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rPr>
                <w:rFonts w:ascii="微软雅黑" w:hAnsi="微软雅黑" w:eastAsia="微软雅黑" w:cs="微软雅黑"/>
                <w:color w:val="555555"/>
                <w:szCs w:val="24"/>
              </w:rPr>
            </w:pPr>
            <w:r>
              <w:rPr>
                <w:rFonts w:hint="eastAsia" w:ascii="微软雅黑" w:hAnsi="微软雅黑" w:eastAsia="微软雅黑" w:cs="微软雅黑"/>
                <w:color w:val="555555"/>
                <w:szCs w:val="24"/>
              </w:rPr>
              <w:t>0</w:t>
            </w:r>
          </w:p>
        </w:tc>
        <w:tc>
          <w:tcPr>
            <w:tcW w:w="14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rPr>
                <w:rFonts w:ascii="微软雅黑" w:hAnsi="微软雅黑" w:eastAsia="微软雅黑" w:cs="微软雅黑"/>
                <w:color w:val="555555"/>
                <w:szCs w:val="24"/>
              </w:rPr>
            </w:pPr>
            <w:r>
              <w:rPr>
                <w:rFonts w:hint="eastAsia" w:ascii="微软雅黑" w:hAnsi="微软雅黑" w:eastAsia="微软雅黑" w:cs="微软雅黑"/>
                <w:color w:val="555555"/>
                <w:szCs w:val="24"/>
              </w:rPr>
              <w:t>0</w:t>
            </w:r>
          </w:p>
        </w:tc>
        <w:tc>
          <w:tcPr>
            <w:tcW w:w="188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rPr>
                <w:rFonts w:ascii="微软雅黑" w:hAnsi="微软雅黑" w:eastAsia="微软雅黑" w:cs="微软雅黑"/>
                <w:color w:val="555555"/>
                <w:szCs w:val="24"/>
              </w:rP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规范性文件</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0</w:t>
            </w:r>
          </w:p>
        </w:tc>
        <w:tc>
          <w:tcPr>
            <w:tcW w:w="146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0</w:t>
            </w:r>
          </w:p>
        </w:tc>
        <w:tc>
          <w:tcPr>
            <w:tcW w:w="1882"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83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第二十条第（五）项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信息内容</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行政许可</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rPr>
                <w:rFonts w:eastAsiaTheme="minorEastAsia"/>
              </w:rPr>
            </w:pPr>
            <w:r>
              <w:rPr>
                <w:rFonts w:hint="eastAsia"/>
              </w:rPr>
              <w:t>83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83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第二十条第（六）项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信息内容</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行政处罚</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行政强制</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8322"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第二十条第（八）项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信息内容</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本年收费金额（单位：万元）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10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行政事业性收费</w:t>
            </w:r>
          </w:p>
        </w:tc>
        <w:tc>
          <w:tcPr>
            <w:tcW w:w="5217"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ind w:left="181" w:right="181"/>
            </w:pPr>
            <w:r>
              <w:rPr>
                <w:rFonts w:hint="eastAsia" w:ascii="微软雅黑" w:hAnsi="微软雅黑" w:eastAsia="微软雅黑" w:cs="微软雅黑"/>
                <w:color w:val="555555"/>
                <w:szCs w:val="24"/>
              </w:rPr>
              <w:t>0</w:t>
            </w:r>
          </w:p>
        </w:tc>
      </w:tr>
    </w:tbl>
    <w:p>
      <w:pPr>
        <w:widowControl/>
        <w:shd w:val="clear" w:color="auto" w:fill="FFFFFF"/>
        <w:spacing w:line="600" w:lineRule="exact"/>
        <w:ind w:firstLine="480"/>
        <w:rPr>
          <w:rFonts w:ascii="微软雅黑" w:hAnsi="微软雅黑" w:eastAsia="微软雅黑" w:cs="宋体"/>
          <w:kern w:val="0"/>
          <w:sz w:val="24"/>
        </w:rPr>
      </w:pPr>
    </w:p>
    <w:p>
      <w:pPr>
        <w:widowControl/>
        <w:shd w:val="clear" w:color="auto" w:fill="FFFFFF"/>
        <w:spacing w:line="600" w:lineRule="exact"/>
        <w:ind w:firstLine="640" w:firstLineChars="200"/>
        <w:rPr>
          <w:rFonts w:ascii="微软雅黑" w:hAnsi="微软雅黑" w:eastAsia="微软雅黑" w:cs="宋体"/>
          <w:kern w:val="0"/>
          <w:sz w:val="24"/>
        </w:rPr>
      </w:pPr>
      <w:r>
        <w:rPr>
          <w:rFonts w:hint="eastAsia" w:ascii="黑体" w:hAnsi="黑体" w:eastAsia="黑体" w:cs="黑体"/>
          <w:kern w:val="0"/>
          <w:sz w:val="32"/>
          <w:szCs w:val="32"/>
        </w:rPr>
        <w:t>三、收到和处理政府信息公开申请情况</w:t>
      </w:r>
    </w:p>
    <w:tbl>
      <w:tblPr>
        <w:tblStyle w:val="6"/>
        <w:tblpPr w:leftFromText="180" w:rightFromText="180" w:vertAnchor="text" w:horzAnchor="page" w:tblpX="1778" w:tblpY="602"/>
        <w:tblOverlap w:val="never"/>
        <w:tblW w:w="832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42"/>
        <w:gridCol w:w="1148"/>
        <w:gridCol w:w="1200"/>
        <w:gridCol w:w="736"/>
        <w:gridCol w:w="736"/>
        <w:gridCol w:w="736"/>
        <w:gridCol w:w="736"/>
        <w:gridCol w:w="736"/>
        <w:gridCol w:w="736"/>
        <w:gridCol w:w="61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3290"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（本列数据的勾稽关系为：第一项加第二项之和，等于第三项加第四项之和）</w:t>
            </w:r>
          </w:p>
        </w:tc>
        <w:tc>
          <w:tcPr>
            <w:tcW w:w="5032"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申请人情况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329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73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自然人</w:t>
            </w:r>
          </w:p>
        </w:tc>
        <w:tc>
          <w:tcPr>
            <w:tcW w:w="3680"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法人或其他组织</w:t>
            </w:r>
          </w:p>
        </w:tc>
        <w:tc>
          <w:tcPr>
            <w:tcW w:w="61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3290"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商业</w:t>
            </w:r>
          </w:p>
          <w:p>
            <w:pPr>
              <w:pStyle w:val="5"/>
              <w:widowControl/>
              <w:spacing w:line="440" w:lineRule="exact"/>
            </w:pPr>
            <w:r>
              <w:rPr>
                <w:rFonts w:hint="eastAsia" w:ascii="微软雅黑" w:hAnsi="微软雅黑" w:eastAsia="微软雅黑" w:cs="微软雅黑"/>
                <w:color w:val="555555"/>
                <w:szCs w:val="24"/>
              </w:rPr>
              <w:t>企业</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科研</w:t>
            </w:r>
          </w:p>
          <w:p>
            <w:pPr>
              <w:pStyle w:val="5"/>
              <w:widowControl/>
              <w:spacing w:line="440" w:lineRule="exact"/>
            </w:pPr>
            <w:r>
              <w:rPr>
                <w:rFonts w:hint="eastAsia" w:ascii="微软雅黑" w:hAnsi="微软雅黑" w:eastAsia="微软雅黑" w:cs="微软雅黑"/>
                <w:color w:val="555555"/>
                <w:szCs w:val="24"/>
              </w:rPr>
              <w:t>机构</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社会公益组织</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法律服务机构</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其他</w:t>
            </w:r>
          </w:p>
        </w:tc>
        <w:tc>
          <w:tcPr>
            <w:tcW w:w="61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329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一、本年新收政府信息公开申请数量</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ascii="微软雅黑" w:hAnsi="微软雅黑" w:eastAsia="微软雅黑" w:cs="微软雅黑"/>
                <w:color w:val="555555"/>
                <w:szCs w:val="24"/>
              </w:rPr>
              <w:t>7</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ascii="微软雅黑" w:hAnsi="微软雅黑" w:eastAsia="微软雅黑" w:cs="微软雅黑"/>
                <w:color w:val="555555"/>
                <w:szCs w:val="24"/>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329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二、上年结转政府信息公开申请数量</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三、本年度办理结果</w:t>
            </w:r>
          </w:p>
        </w:tc>
        <w:tc>
          <w:tcPr>
            <w:tcW w:w="234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（一）予以公开</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234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（二）部分公开（区分处理的，只计这一情形，不计其他情形）</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1</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（三）不予公开</w:t>
            </w: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1.属于国家秘密</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2.其他法律行政法规禁止公开</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3.危及“三安全一稳定”</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4.保护第三方合法权益</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5.属于三类内部事务信息</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2</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6.属于四类过程性信息</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7.属于行政执法案卷</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8.属于行政查询事项</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（四）无法提供</w:t>
            </w: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1.本机关不掌握相关政府信息</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1</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2.没有现成信息需要另行制作</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3.补正后申请内容仍不明确</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（五）不予处理</w:t>
            </w: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1.信访举报投诉类申请</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2.重复申请</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3.要求提供公开出版物</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tcPr>
          <w:p>
            <w:pPr>
              <w:pStyle w:val="5"/>
              <w:widowControl/>
              <w:spacing w:line="440" w:lineRule="exact"/>
            </w:pPr>
            <w:r>
              <w:rPr>
                <w:rFonts w:hint="eastAsia" w:ascii="微软雅黑" w:hAnsi="微软雅黑" w:eastAsia="微软雅黑" w:cs="微软雅黑"/>
                <w:color w:val="555555"/>
                <w:szCs w:val="24"/>
              </w:rPr>
              <w:t>4.无正当理由大量反复申请</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5.要求行政机关确认或重新出具已获取信息</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（六）其他处理</w:t>
            </w: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1.申请人无正当理由逾期不补正、行政机关不再处理其政府信息公开申请</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2</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2.申请人逾期未按收费通知要求缴纳费用、行政机关不再处理其政府信息公开申请</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14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120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3.其他</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942"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440" w:lineRule="exact"/>
              <w:jc w:val="left"/>
              <w:rPr>
                <w:rFonts w:ascii="微软雅黑" w:hAnsi="微软雅黑" w:eastAsia="微软雅黑" w:cs="微软雅黑"/>
                <w:color w:val="555555"/>
                <w:sz w:val="24"/>
                <w:szCs w:val="24"/>
              </w:rPr>
            </w:pPr>
          </w:p>
        </w:tc>
        <w:tc>
          <w:tcPr>
            <w:tcW w:w="234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（七）总计</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6</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eastAsia="微软雅黑"/>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c>
          <w:tcPr>
            <w:tcW w:w="329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pPr>
            <w:r>
              <w:rPr>
                <w:rFonts w:hint="eastAsia" w:ascii="微软雅黑" w:hAnsi="微软雅黑" w:eastAsia="微软雅黑" w:cs="微软雅黑"/>
                <w:color w:val="555555"/>
                <w:szCs w:val="24"/>
              </w:rPr>
              <w:t>四、结转下年度继续办理</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Theme="minorEastAsia"/>
              </w:rPr>
            </w:pPr>
            <w:r>
              <w:rPr>
                <w:rFonts w:hint="eastAsia"/>
              </w:rPr>
              <w:t>1</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73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ascii="微软雅黑" w:hAnsi="微软雅黑" w:eastAsia="微软雅黑" w:cs="微软雅黑"/>
                <w:color w:val="555555"/>
                <w:szCs w:val="24"/>
              </w:rPr>
              <w:t>0</w:t>
            </w:r>
          </w:p>
        </w:tc>
        <w:tc>
          <w:tcPr>
            <w:tcW w:w="61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5"/>
              <w:widowControl/>
              <w:spacing w:line="440" w:lineRule="exact"/>
              <w:jc w:val="center"/>
              <w:rPr>
                <w:rFonts w:eastAsia="微软雅黑"/>
              </w:rPr>
            </w:pPr>
            <w:r>
              <w:rPr>
                <w:rFonts w:hint="eastAsia" w:eastAsia="微软雅黑"/>
              </w:rPr>
              <w:t>1</w:t>
            </w:r>
          </w:p>
        </w:tc>
      </w:tr>
    </w:tbl>
    <w:p>
      <w:pPr>
        <w:widowControl/>
        <w:shd w:val="clear" w:color="auto" w:fill="FFFFFF"/>
        <w:spacing w:line="600" w:lineRule="exact"/>
        <w:ind w:firstLine="640" w:firstLineChars="200"/>
        <w:rPr>
          <w:rFonts w:hint="eastAsia" w:ascii="黑体" w:hAnsi="黑体" w:eastAsia="黑体" w:cs="黑体"/>
          <w:kern w:val="0"/>
          <w:sz w:val="32"/>
          <w:szCs w:val="32"/>
        </w:rPr>
      </w:pPr>
    </w:p>
    <w:p>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四、政府信息公开行政复议、行政诉讼情况</w:t>
      </w:r>
    </w:p>
    <w:tbl>
      <w:tblPr>
        <w:tblStyle w:val="6"/>
        <w:tblW w:w="9071" w:type="dxa"/>
        <w:jc w:val="center"/>
        <w:tblInd w:w="0" w:type="dxa"/>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Layout w:type="fixed"/>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行政复议</w:t>
            </w:r>
          </w:p>
        </w:tc>
        <w:tc>
          <w:tcPr>
            <w:tcW w:w="5997" w:type="dxa"/>
            <w:gridSpan w:val="10"/>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行政诉讼</w:t>
            </w:r>
          </w:p>
        </w:tc>
      </w:tr>
      <w:tr>
        <w:tblPrEx>
          <w:tblLayout w:type="fixed"/>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结果维持</w:t>
            </w:r>
          </w:p>
        </w:tc>
        <w:tc>
          <w:tcPr>
            <w:tcW w:w="604" w:type="dxa"/>
            <w:vMerge w:val="restart"/>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结果纠正</w:t>
            </w:r>
          </w:p>
        </w:tc>
        <w:tc>
          <w:tcPr>
            <w:tcW w:w="604"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其他结果</w:t>
            </w:r>
          </w:p>
        </w:tc>
        <w:tc>
          <w:tcPr>
            <w:tcW w:w="604"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尚未审结</w:t>
            </w:r>
          </w:p>
        </w:tc>
        <w:tc>
          <w:tcPr>
            <w:tcW w:w="658"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总计</w:t>
            </w:r>
          </w:p>
        </w:tc>
        <w:tc>
          <w:tcPr>
            <w:tcW w:w="2970" w:type="dxa"/>
            <w:gridSpan w:val="5"/>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复议后起诉</w:t>
            </w:r>
          </w:p>
        </w:tc>
      </w:tr>
      <w:tr>
        <w:tblPrEx>
          <w:tblLayout w:type="fixed"/>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ign w:val="center"/>
          </w:tcPr>
          <w:p>
            <w:pPr>
              <w:widowControl/>
              <w:spacing w:line="600" w:lineRule="exact"/>
              <w:jc w:val="left"/>
              <w:rPr>
                <w:rFonts w:ascii="微软雅黑" w:hAnsi="微软雅黑" w:eastAsia="微软雅黑" w:cs="宋体"/>
                <w:kern w:val="0"/>
                <w:sz w:val="24"/>
              </w:rPr>
            </w:pPr>
          </w:p>
        </w:tc>
        <w:tc>
          <w:tcPr>
            <w:tcW w:w="604" w:type="dxa"/>
            <w:vMerge w:val="continue"/>
            <w:tcBorders>
              <w:top w:val="nil"/>
              <w:left w:val="nil"/>
              <w:bottom w:val="single" w:color="auto" w:sz="8" w:space="0"/>
              <w:right w:val="single" w:color="auto" w:sz="8" w:space="0"/>
            </w:tcBorders>
            <w:noWrap/>
            <w:vAlign w:val="center"/>
          </w:tcPr>
          <w:p>
            <w:pPr>
              <w:widowControl/>
              <w:spacing w:line="600" w:lineRule="exact"/>
              <w:jc w:val="left"/>
              <w:rPr>
                <w:rFonts w:ascii="微软雅黑" w:hAnsi="微软雅黑" w:eastAsia="微软雅黑" w:cs="宋体"/>
                <w:kern w:val="0"/>
                <w:sz w:val="24"/>
              </w:rPr>
            </w:pPr>
          </w:p>
        </w:tc>
        <w:tc>
          <w:tcPr>
            <w:tcW w:w="604" w:type="dxa"/>
            <w:vMerge w:val="continue"/>
            <w:tcBorders>
              <w:top w:val="single" w:color="auto" w:sz="8" w:space="0"/>
              <w:left w:val="nil"/>
              <w:bottom w:val="single" w:color="auto" w:sz="8" w:space="0"/>
              <w:right w:val="single" w:color="auto" w:sz="8" w:space="0"/>
            </w:tcBorders>
            <w:noWrap/>
            <w:vAlign w:val="center"/>
          </w:tcPr>
          <w:p>
            <w:pPr>
              <w:widowControl/>
              <w:spacing w:line="600" w:lineRule="exact"/>
              <w:jc w:val="left"/>
              <w:rPr>
                <w:rFonts w:ascii="微软雅黑" w:hAnsi="微软雅黑" w:eastAsia="微软雅黑" w:cs="宋体"/>
                <w:kern w:val="0"/>
                <w:sz w:val="24"/>
              </w:rPr>
            </w:pPr>
          </w:p>
        </w:tc>
        <w:tc>
          <w:tcPr>
            <w:tcW w:w="604" w:type="dxa"/>
            <w:vMerge w:val="continue"/>
            <w:tcBorders>
              <w:top w:val="single" w:color="auto" w:sz="8" w:space="0"/>
              <w:left w:val="nil"/>
              <w:bottom w:val="single" w:color="auto" w:sz="8" w:space="0"/>
              <w:right w:val="single" w:color="auto" w:sz="8" w:space="0"/>
            </w:tcBorders>
            <w:noWrap/>
            <w:vAlign w:val="center"/>
          </w:tcPr>
          <w:p>
            <w:pPr>
              <w:widowControl/>
              <w:spacing w:line="600" w:lineRule="exact"/>
              <w:jc w:val="left"/>
              <w:rPr>
                <w:rFonts w:ascii="微软雅黑" w:hAnsi="微软雅黑" w:eastAsia="微软雅黑" w:cs="宋体"/>
                <w:kern w:val="0"/>
                <w:sz w:val="24"/>
              </w:rPr>
            </w:pPr>
          </w:p>
        </w:tc>
        <w:tc>
          <w:tcPr>
            <w:tcW w:w="658" w:type="dxa"/>
            <w:vMerge w:val="continue"/>
            <w:tcBorders>
              <w:top w:val="single" w:color="auto" w:sz="8" w:space="0"/>
              <w:left w:val="nil"/>
              <w:bottom w:val="single" w:color="auto" w:sz="8" w:space="0"/>
              <w:right w:val="single" w:color="auto" w:sz="8" w:space="0"/>
            </w:tcBorders>
            <w:noWrap/>
            <w:vAlign w:val="center"/>
          </w:tcPr>
          <w:p>
            <w:pPr>
              <w:widowControl/>
              <w:spacing w:line="600" w:lineRule="exact"/>
              <w:jc w:val="left"/>
              <w:rPr>
                <w:rFonts w:ascii="微软雅黑" w:hAnsi="微软雅黑" w:eastAsia="微软雅黑" w:cs="宋体"/>
                <w:kern w:val="0"/>
                <w:sz w:val="24"/>
              </w:rPr>
            </w:pPr>
          </w:p>
        </w:tc>
        <w:tc>
          <w:tcPr>
            <w:tcW w:w="5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结果维持</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结果纠正</w:t>
            </w:r>
          </w:p>
        </w:tc>
        <w:tc>
          <w:tcPr>
            <w:tcW w:w="60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其他结果</w:t>
            </w:r>
          </w:p>
        </w:tc>
        <w:tc>
          <w:tcPr>
            <w:tcW w:w="60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尚未审结</w:t>
            </w:r>
          </w:p>
        </w:tc>
        <w:tc>
          <w:tcPr>
            <w:tcW w:w="60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总计</w:t>
            </w:r>
          </w:p>
        </w:tc>
        <w:tc>
          <w:tcPr>
            <w:tcW w:w="60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结果维持</w:t>
            </w:r>
          </w:p>
        </w:tc>
        <w:tc>
          <w:tcPr>
            <w:tcW w:w="60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结果纠正</w:t>
            </w:r>
          </w:p>
        </w:tc>
        <w:tc>
          <w:tcPr>
            <w:tcW w:w="60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其他结果</w:t>
            </w:r>
          </w:p>
        </w:tc>
        <w:tc>
          <w:tcPr>
            <w:tcW w:w="60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尚未审结</w:t>
            </w:r>
          </w:p>
        </w:tc>
        <w:tc>
          <w:tcPr>
            <w:tcW w:w="60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微软雅黑" w:hAnsi="微软雅黑" w:eastAsia="微软雅黑" w:cs="宋体"/>
                <w:kern w:val="0"/>
                <w:sz w:val="20"/>
              </w:rPr>
              <w:t>总计</w:t>
            </w:r>
          </w:p>
        </w:tc>
      </w:tr>
      <w:tr>
        <w:tblPrEx>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eastAsia="微软雅黑" w:cs="宋体"/>
                <w:kern w:val="0"/>
                <w:sz w:val="20"/>
              </w:rPr>
              <w:t>0</w:t>
            </w:r>
          </w:p>
        </w:tc>
        <w:tc>
          <w:tcPr>
            <w:tcW w:w="6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eastAsia="微软雅黑" w:cs="宋体"/>
                <w:kern w:val="0"/>
                <w:sz w:val="20"/>
              </w:rPr>
              <w:t>0</w:t>
            </w:r>
          </w:p>
        </w:tc>
        <w:tc>
          <w:tcPr>
            <w:tcW w:w="6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eastAsia="微软雅黑" w:cs="宋体"/>
                <w:kern w:val="0"/>
                <w:sz w:val="20"/>
              </w:rPr>
              <w:t>0</w:t>
            </w:r>
          </w:p>
        </w:tc>
        <w:tc>
          <w:tcPr>
            <w:tcW w:w="6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eastAsia="微软雅黑" w:cs="宋体"/>
                <w:kern w:val="0"/>
                <w:sz w:val="20"/>
              </w:rPr>
              <w:t>0</w:t>
            </w:r>
          </w:p>
        </w:tc>
        <w:tc>
          <w:tcPr>
            <w:tcW w:w="6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eastAsia="微软雅黑" w:cs="宋体"/>
                <w:kern w:val="0"/>
                <w:sz w:val="20"/>
              </w:rPr>
              <w:t>0</w:t>
            </w:r>
          </w:p>
        </w:tc>
        <w:tc>
          <w:tcPr>
            <w:tcW w:w="5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center"/>
              <w:rPr>
                <w:rFonts w:ascii="微软雅黑" w:hAnsi="微软雅黑" w:eastAsia="微软雅黑" w:cs="宋体"/>
                <w:kern w:val="0"/>
                <w:sz w:val="24"/>
              </w:rPr>
            </w:pPr>
            <w:r>
              <w:rPr>
                <w:rFonts w:hint="eastAsia" w:ascii="Microsoft YaHei Western" w:hAnsi="Microsoft YaHei Western" w:eastAsia="微软雅黑" w:cs="宋体"/>
                <w:kern w:val="0"/>
                <w:sz w:val="20"/>
              </w:rPr>
              <w:t>0</w:t>
            </w:r>
          </w:p>
        </w:tc>
        <w:tc>
          <w:tcPr>
            <w:tcW w:w="60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line="600" w:lineRule="exact"/>
              <w:jc w:val="left"/>
              <w:rPr>
                <w:rFonts w:ascii="微软雅黑" w:hAnsi="微软雅黑" w:eastAsia="微软雅黑" w:cs="宋体"/>
                <w:kern w:val="0"/>
                <w:sz w:val="24"/>
              </w:rPr>
            </w:pPr>
            <w:r>
              <w:rPr>
                <w:rFonts w:hint="eastAsia" w:ascii="微软雅黑" w:hAnsi="微软雅黑" w:eastAsia="微软雅黑" w:cs="宋体"/>
                <w:kern w:val="0"/>
                <w:sz w:val="24"/>
              </w:rPr>
              <w:t>0</w:t>
            </w:r>
          </w:p>
        </w:tc>
      </w:tr>
    </w:tbl>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五、存在的主要问题及改进情况</w:t>
      </w:r>
    </w:p>
    <w:p>
      <w:pPr>
        <w:spacing w:line="60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2021年我镇在政务公开方面做了一定的工作，取得了一定成效，但与全面推进政务公开的要求相比，仍存在部分信息公开内容不够全面、公开方式和渠道不够多元化和公众参与度不高的问题。</w:t>
      </w:r>
    </w:p>
    <w:p>
      <w:pPr>
        <w:spacing w:line="60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下一步我镇将继续认真贯彻落实《中华人民共和国政府信息公开条例》以及省、市、区关于政务公开工作的要点精神，不断强化公开意识，着重突出人民群众关注的重点信息，及时回应社会关切问题，正确引导社会舆论。一是加强业务学习和培训，进一步提高工作人员对政务公开重要性的认识，加强对政府信息公开和办事公开业务的熟练程度；二是进一步丰富信息公开渠道，通过线上线下多种形式，实现信息的及时性、有效性；三是进一步规范政府信息公开工作流程，加强对公开信息的保密审查工作，确保各项工作按既定流程有效运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tabs>
          <w:tab w:val="left" w:pos="709"/>
        </w:tabs>
        <w:spacing w:line="600" w:lineRule="exact"/>
        <w:ind w:firstLine="640" w:firstLineChars="200"/>
        <w:jc w:val="left"/>
      </w:pPr>
      <w:r>
        <w:rPr>
          <w:rFonts w:hint="eastAsia" w:ascii="仿宋_GB2312" w:hAnsi="仿宋_GB2312" w:eastAsia="仿宋_GB2312" w:cs="仿宋_GB2312"/>
          <w:kern w:val="0"/>
          <w:sz w:val="32"/>
          <w:szCs w:val="32"/>
        </w:rPr>
        <w:t>本年度我</w:t>
      </w:r>
      <w:r>
        <w:rPr>
          <w:rFonts w:hint="eastAsia" w:ascii="仿宋_GB2312" w:hAnsi="仿宋_GB2312" w:eastAsia="仿宋_GB2312" w:cs="仿宋_GB2312"/>
          <w:kern w:val="0"/>
          <w:sz w:val="32"/>
          <w:szCs w:val="32"/>
          <w:lang w:val="en-US" w:eastAsia="zh-CN"/>
        </w:rPr>
        <w:t>镇</w:t>
      </w:r>
      <w:r>
        <w:rPr>
          <w:rFonts w:hint="eastAsia" w:ascii="仿宋_GB2312" w:hAnsi="仿宋_GB2312" w:eastAsia="仿宋_GB2312" w:cs="仿宋_GB2312"/>
          <w:kern w:val="0"/>
          <w:sz w:val="32"/>
          <w:szCs w:val="32"/>
        </w:rPr>
        <w:t>未发出政府信息处理费收费通知书，不存在收取信息费的情况。</w:t>
      </w:r>
      <w:r>
        <w:rPr>
          <w:rFonts w:hint="eastAsi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Western">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00D7C"/>
    <w:rsid w:val="003B1339"/>
    <w:rsid w:val="00680EFC"/>
    <w:rsid w:val="00C1463A"/>
    <w:rsid w:val="04497B41"/>
    <w:rsid w:val="061E20BF"/>
    <w:rsid w:val="07415654"/>
    <w:rsid w:val="0A5D6173"/>
    <w:rsid w:val="0B8953AF"/>
    <w:rsid w:val="0C0C1FEB"/>
    <w:rsid w:val="0C782EF0"/>
    <w:rsid w:val="0F1E1B10"/>
    <w:rsid w:val="12FB47A5"/>
    <w:rsid w:val="132072B9"/>
    <w:rsid w:val="151A6510"/>
    <w:rsid w:val="1C3E6C84"/>
    <w:rsid w:val="1C87746B"/>
    <w:rsid w:val="1CFD61FB"/>
    <w:rsid w:val="22720D9E"/>
    <w:rsid w:val="25135385"/>
    <w:rsid w:val="25CF3989"/>
    <w:rsid w:val="2BDF27E6"/>
    <w:rsid w:val="2C360D2C"/>
    <w:rsid w:val="2DB35787"/>
    <w:rsid w:val="32536AB3"/>
    <w:rsid w:val="36974E24"/>
    <w:rsid w:val="3790779D"/>
    <w:rsid w:val="3ACC330C"/>
    <w:rsid w:val="3D6A3561"/>
    <w:rsid w:val="40E13BFC"/>
    <w:rsid w:val="41C07F6C"/>
    <w:rsid w:val="44DE3369"/>
    <w:rsid w:val="4AC00D7C"/>
    <w:rsid w:val="4EFD7061"/>
    <w:rsid w:val="52AE4617"/>
    <w:rsid w:val="538C11F9"/>
    <w:rsid w:val="53F85D88"/>
    <w:rsid w:val="557E5559"/>
    <w:rsid w:val="5827212B"/>
    <w:rsid w:val="58F03EF5"/>
    <w:rsid w:val="59CC1527"/>
    <w:rsid w:val="5B8C5A26"/>
    <w:rsid w:val="5CC26267"/>
    <w:rsid w:val="5D8162EB"/>
    <w:rsid w:val="5F0E7698"/>
    <w:rsid w:val="5F9D3A1A"/>
    <w:rsid w:val="66420953"/>
    <w:rsid w:val="698161EF"/>
    <w:rsid w:val="6B106260"/>
    <w:rsid w:val="6CC079EF"/>
    <w:rsid w:val="6EB24666"/>
    <w:rsid w:val="71F97F29"/>
    <w:rsid w:val="737A0743"/>
    <w:rsid w:val="739E497F"/>
    <w:rsid w:val="74E300F9"/>
    <w:rsid w:val="7A136159"/>
    <w:rsid w:val="7EE9442F"/>
    <w:rsid w:val="7F0009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31"/>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80" w:after="180"/>
      <w:ind w:left="180" w:right="180"/>
      <w:jc w:val="left"/>
    </w:pPr>
    <w:rPr>
      <w:kern w:val="0"/>
      <w:sz w:val="24"/>
    </w:rPr>
  </w:style>
  <w:style w:type="character" w:styleId="8">
    <w:name w:val="FollowedHyperlink"/>
    <w:basedOn w:val="7"/>
    <w:qFormat/>
    <w:uiPriority w:val="0"/>
    <w:rPr>
      <w:color w:val="555555"/>
      <w:u w:val="none"/>
    </w:rPr>
  </w:style>
  <w:style w:type="character" w:styleId="9">
    <w:name w:val="Hyperlink"/>
    <w:basedOn w:val="7"/>
    <w:qFormat/>
    <w:uiPriority w:val="0"/>
    <w:rPr>
      <w:color w:val="555555"/>
      <w:u w:val="none"/>
    </w:rPr>
  </w:style>
  <w:style w:type="character" w:customStyle="1" w:styleId="10">
    <w:name w:val="disabled"/>
    <w:basedOn w:val="7"/>
    <w:qFormat/>
    <w:uiPriority w:val="0"/>
    <w:rPr>
      <w:color w:val="CCCCCC"/>
      <w:bdr w:val="single" w:color="F3F3F3" w:sz="6" w:space="0"/>
    </w:rPr>
  </w:style>
  <w:style w:type="character" w:customStyle="1" w:styleId="11">
    <w:name w:val="current"/>
    <w:basedOn w:val="7"/>
    <w:qFormat/>
    <w:uiPriority w:val="0"/>
    <w:rPr>
      <w:color w:val="FFFFFF"/>
      <w:u w:val="none"/>
      <w:bdr w:val="single" w:color="FB6E52" w:sz="6" w:space="0"/>
      <w:shd w:val="clear" w:color="auto" w:fill="FB6E52"/>
    </w:rPr>
  </w:style>
  <w:style w:type="character" w:customStyle="1" w:styleId="12">
    <w:name w:val="current1"/>
    <w:basedOn w:val="7"/>
    <w:qFormat/>
    <w:uiPriority w:val="0"/>
    <w:rPr>
      <w:b/>
      <w:color w:val="FFFFFF"/>
      <w:bdr w:val="single" w:color="D80D00" w:sz="6" w:space="0"/>
      <w:shd w:val="clear" w:color="auto" w:fill="D80D00"/>
    </w:rPr>
  </w:style>
  <w:style w:type="character" w:customStyle="1" w:styleId="13">
    <w:name w:val="current2"/>
    <w:basedOn w:val="7"/>
    <w:qFormat/>
    <w:uiPriority w:val="0"/>
    <w:rPr>
      <w:color w:val="FFFFFF"/>
      <w:u w:val="none"/>
      <w:bdr w:val="single" w:color="FB6E52" w:sz="6" w:space="0"/>
      <w:shd w:val="clear" w:color="auto" w:fill="FB6E52"/>
    </w:rPr>
  </w:style>
  <w:style w:type="character" w:customStyle="1" w:styleId="14">
    <w:name w:val="current3"/>
    <w:basedOn w:val="7"/>
    <w:qFormat/>
    <w:uiPriority w:val="0"/>
    <w:rPr>
      <w:b/>
      <w:color w:val="FFFFFF"/>
      <w:bdr w:val="single" w:color="D80D00" w:sz="6" w:space="0"/>
      <w:shd w:val="clear" w:color="auto" w:fill="D80D00"/>
    </w:rPr>
  </w:style>
  <w:style w:type="character" w:customStyle="1" w:styleId="15">
    <w:name w:val="icon6"/>
    <w:basedOn w:val="7"/>
    <w:qFormat/>
    <w:uiPriority w:val="0"/>
  </w:style>
  <w:style w:type="character" w:customStyle="1" w:styleId="16">
    <w:name w:val="icon3"/>
    <w:basedOn w:val="7"/>
    <w:qFormat/>
    <w:uiPriority w:val="0"/>
  </w:style>
  <w:style w:type="character" w:customStyle="1" w:styleId="17">
    <w:name w:val="icon1"/>
    <w:basedOn w:val="7"/>
    <w:qFormat/>
    <w:uiPriority w:val="0"/>
  </w:style>
  <w:style w:type="character" w:customStyle="1" w:styleId="18">
    <w:name w:val="icon2"/>
    <w:basedOn w:val="7"/>
    <w:qFormat/>
    <w:uiPriority w:val="0"/>
  </w:style>
  <w:style w:type="character" w:customStyle="1" w:styleId="19">
    <w:name w:val="icon4"/>
    <w:basedOn w:val="7"/>
    <w:qFormat/>
    <w:uiPriority w:val="0"/>
  </w:style>
  <w:style w:type="character" w:customStyle="1" w:styleId="20">
    <w:name w:val="icon5"/>
    <w:basedOn w:val="7"/>
    <w:qFormat/>
    <w:uiPriority w:val="0"/>
  </w:style>
  <w:style w:type="character" w:customStyle="1" w:styleId="21">
    <w:name w:val="icon7"/>
    <w:basedOn w:val="7"/>
    <w:qFormat/>
    <w:uiPriority w:val="0"/>
  </w:style>
  <w:style w:type="character" w:customStyle="1" w:styleId="22">
    <w:name w:val="icon8"/>
    <w:basedOn w:val="7"/>
    <w:qFormat/>
    <w:uiPriority w:val="0"/>
  </w:style>
  <w:style w:type="character" w:customStyle="1" w:styleId="23">
    <w:name w:val="line"/>
    <w:basedOn w:val="7"/>
    <w:qFormat/>
    <w:uiPriority w:val="0"/>
  </w:style>
  <w:style w:type="character" w:customStyle="1" w:styleId="24">
    <w:name w:val="line1"/>
    <w:basedOn w:val="7"/>
    <w:qFormat/>
    <w:uiPriority w:val="0"/>
  </w:style>
  <w:style w:type="character" w:customStyle="1" w:styleId="25">
    <w:name w:val="sl"/>
    <w:basedOn w:val="7"/>
    <w:qFormat/>
    <w:uiPriority w:val="0"/>
    <w:rPr>
      <w:sz w:val="21"/>
      <w:szCs w:val="21"/>
    </w:rPr>
  </w:style>
  <w:style w:type="character" w:customStyle="1" w:styleId="26">
    <w:name w:val="on2"/>
    <w:basedOn w:val="7"/>
    <w:qFormat/>
    <w:uiPriority w:val="0"/>
    <w:rPr>
      <w:b/>
      <w:color w:val="D10200"/>
      <w:shd w:val="clear" w:color="auto" w:fill="F2F2F2"/>
    </w:rPr>
  </w:style>
  <w:style w:type="character" w:customStyle="1" w:styleId="27">
    <w:name w:val="fy_go"/>
    <w:basedOn w:val="7"/>
    <w:qFormat/>
    <w:uiPriority w:val="0"/>
    <w:rPr>
      <w:color w:val="FFFFFF"/>
      <w:sz w:val="21"/>
      <w:szCs w:val="21"/>
      <w:shd w:val="clear" w:color="auto" w:fill="D10200"/>
    </w:rPr>
  </w:style>
  <w:style w:type="character" w:customStyle="1" w:styleId="28">
    <w:name w:val="line2"/>
    <w:basedOn w:val="7"/>
    <w:qFormat/>
    <w:uiPriority w:val="0"/>
  </w:style>
  <w:style w:type="character" w:customStyle="1" w:styleId="29">
    <w:name w:val="line3"/>
    <w:basedOn w:val="7"/>
    <w:qFormat/>
    <w:uiPriority w:val="0"/>
  </w:style>
  <w:style w:type="character" w:customStyle="1" w:styleId="30">
    <w:name w:val="页眉 Char"/>
    <w:basedOn w:val="7"/>
    <w:link w:val="4"/>
    <w:qFormat/>
    <w:uiPriority w:val="0"/>
    <w:rPr>
      <w:kern w:val="2"/>
      <w:sz w:val="18"/>
      <w:szCs w:val="18"/>
    </w:rPr>
  </w:style>
  <w:style w:type="character" w:customStyle="1" w:styleId="3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2299</Words>
  <Characters>483</Characters>
  <Lines>4</Lines>
  <Paragraphs>5</Paragraphs>
  <TotalTime>40</TotalTime>
  <ScaleCrop>false</ScaleCrop>
  <LinksUpToDate>false</LinksUpToDate>
  <CharactersWithSpaces>2777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2020-01-03T02:32:00Z</dcterms:created>
  <dc:creator>无</dc:creator>
  <cp:lastModifiedBy>Administrator</cp:lastModifiedBy>
  <cp:lastPrinted>2021-01-05T06:55:00Z</cp:lastPrinted>
  <dcterms:modified xsi:type="dcterms:W3CDTF">2023-01-30T07:52:30Z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